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A82319" w:rsidRPr="00D101DC" w:rsidRDefault="003517B1" w:rsidP="009F54C6">
      <w:pPr>
        <w:pStyle w:val="Title"/>
        <w:rPr>
          <w:color w:val="808080" w:themeColor="background1" w:themeShade="80"/>
          <w:sz w:val="56"/>
          <w:szCs w:val="56"/>
        </w:rPr>
      </w:pPr>
      <w:bookmarkStart w:id="0" w:name="_GoBack"/>
      <w:bookmarkEnd w:id="0"/>
      <w:r w:rsidRPr="00D101DC">
        <w:rPr>
          <w:noProof/>
          <w:color w:val="808080" w:themeColor="background1" w:themeShade="80"/>
          <w:sz w:val="56"/>
          <w:szCs w:val="56"/>
          <w:lang w:eastAsia="en-US"/>
        </w:rPr>
        <w:drawing>
          <wp:anchor distT="0" distB="0" distL="114300" distR="114300" simplePos="0" relativeHeight="251666432" behindDoc="0" locked="0" layoutInCell="1" allowOverlap="1" wp14:anchorId="5C3C6A9A">
            <wp:simplePos x="0" y="0"/>
            <wp:positionH relativeFrom="margin">
              <wp:posOffset>5524500</wp:posOffset>
            </wp:positionH>
            <wp:positionV relativeFrom="paragraph">
              <wp:posOffset>-10796</wp:posOffset>
            </wp:positionV>
            <wp:extent cx="1325245" cy="1009083"/>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ntha-Giffin-356x271.jpg"/>
                    <pic:cNvPicPr/>
                  </pic:nvPicPr>
                  <pic:blipFill>
                    <a:blip r:embed="rId10"/>
                    <a:stretch>
                      <a:fillRect/>
                    </a:stretch>
                  </pic:blipFill>
                  <pic:spPr>
                    <a:xfrm>
                      <a:off x="0" y="0"/>
                      <a:ext cx="1343471" cy="1022961"/>
                    </a:xfrm>
                    <a:prstGeom prst="rect">
                      <a:avLst/>
                    </a:prstGeom>
                  </pic:spPr>
                </pic:pic>
              </a:graphicData>
            </a:graphic>
            <wp14:sizeRelH relativeFrom="margin">
              <wp14:pctWidth>0</wp14:pctWidth>
            </wp14:sizeRelH>
            <wp14:sizeRelV relativeFrom="margin">
              <wp14:pctHeight>0</wp14:pctHeight>
            </wp14:sizeRelV>
          </wp:anchor>
        </w:drawing>
      </w:r>
      <w:r w:rsidRPr="00D101DC">
        <w:rPr>
          <w:color w:val="808080" w:themeColor="background1" w:themeShade="80"/>
          <w:sz w:val="56"/>
          <w:szCs w:val="56"/>
        </w:rPr>
        <w:t xml:space="preserve">IMMIGRATION </w:t>
      </w:r>
      <w:r w:rsidR="00A057C6" w:rsidRPr="00D101DC">
        <w:rPr>
          <w:color w:val="808080" w:themeColor="background1" w:themeShade="80"/>
          <w:sz w:val="56"/>
          <w:szCs w:val="56"/>
        </w:rPr>
        <w:t>TEAM</w:t>
      </w:r>
      <w:r w:rsidRPr="00D101DC">
        <w:rPr>
          <w:color w:val="808080" w:themeColor="background1" w:themeShade="80"/>
          <w:sz w:val="56"/>
          <w:szCs w:val="56"/>
        </w:rPr>
        <w:t xml:space="preserve"> UPDATE</w:t>
      </w:r>
    </w:p>
    <w:p w:rsidR="00A82319" w:rsidRDefault="00AF6124" w:rsidP="003517B1">
      <w:pPr>
        <w:pStyle w:val="Subtitle"/>
      </w:pPr>
      <w:r w:rsidRPr="009F54C6">
        <w:rPr>
          <w:noProof/>
          <w:color w:val="808080" w:themeColor="background1" w:themeShade="80"/>
          <w:lang w:eastAsia="en-US"/>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532130</wp:posOffset>
                </wp:positionV>
                <wp:extent cx="2228850" cy="7572375"/>
                <wp:effectExtent l="0" t="0" r="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28850" cy="7572375"/>
                        </a:xfrm>
                        <a:prstGeom prst="rect">
                          <a:avLst/>
                        </a:prstGeom>
                        <a:solidFill>
                          <a:srgbClr val="862678"/>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7E2471"/>
                              <w:tblLayout w:type="fixed"/>
                              <w:tblCellMar>
                                <w:left w:w="0" w:type="dxa"/>
                                <w:right w:w="0" w:type="dxa"/>
                              </w:tblCellMar>
                              <w:tblLook w:val="04A0" w:firstRow="1" w:lastRow="0" w:firstColumn="1" w:lastColumn="0" w:noHBand="0" w:noVBand="1"/>
                              <w:tblDescription w:val="Sidebar layout table"/>
                            </w:tblPr>
                            <w:tblGrid>
                              <w:gridCol w:w="3518"/>
                            </w:tblGrid>
                            <w:tr w:rsidR="0076320A" w:rsidTr="007060CF">
                              <w:trPr>
                                <w:trHeight w:hRule="exact" w:val="8226"/>
                              </w:trPr>
                              <w:tc>
                                <w:tcPr>
                                  <w:tcW w:w="3518" w:type="dxa"/>
                                  <w:shd w:val="clear" w:color="auto" w:fill="7E2471"/>
                                  <w:tcMar>
                                    <w:top w:w="288" w:type="dxa"/>
                                    <w:bottom w:w="288" w:type="dxa"/>
                                  </w:tcMar>
                                </w:tcPr>
                                <w:p w:rsidR="0076320A" w:rsidRPr="00A057C6" w:rsidRDefault="0076320A">
                                  <w:pPr>
                                    <w:pStyle w:val="BlockHeading"/>
                                    <w:rPr>
                                      <w:sz w:val="26"/>
                                      <w:szCs w:val="26"/>
                                    </w:rPr>
                                  </w:pPr>
                                  <w:r w:rsidRPr="00A057C6">
                                    <w:rPr>
                                      <w:sz w:val="26"/>
                                      <w:szCs w:val="26"/>
                                    </w:rPr>
                                    <w:t xml:space="preserve">end </w:t>
                                  </w:r>
                                  <w:r>
                                    <w:rPr>
                                      <w:sz w:val="26"/>
                                      <w:szCs w:val="26"/>
                                    </w:rPr>
                                    <w:t>TO</w:t>
                                  </w:r>
                                  <w:r w:rsidRPr="00A057C6">
                                    <w:rPr>
                                      <w:sz w:val="26"/>
                                      <w:szCs w:val="26"/>
                                    </w:rPr>
                                    <w:t xml:space="preserve"> the </w:t>
                                  </w:r>
                                  <w:r>
                                    <w:rPr>
                                      <w:sz w:val="26"/>
                                      <w:szCs w:val="26"/>
                                    </w:rPr>
                                    <w:t>“</w:t>
                                  </w:r>
                                  <w:r w:rsidRPr="00A057C6">
                                    <w:rPr>
                                      <w:sz w:val="26"/>
                                      <w:szCs w:val="26"/>
                                    </w:rPr>
                                    <w:t>hostile environment</w:t>
                                  </w:r>
                                  <w:r>
                                    <w:rPr>
                                      <w:sz w:val="26"/>
                                      <w:szCs w:val="26"/>
                                    </w:rPr>
                                    <w:t>”</w:t>
                                  </w:r>
                                  <w:r w:rsidRPr="00A057C6">
                                    <w:rPr>
                                      <w:sz w:val="26"/>
                                      <w:szCs w:val="26"/>
                                    </w:rPr>
                                    <w:t>?</w:t>
                                  </w:r>
                                </w:p>
                                <w:p w:rsidR="0076320A"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 xml:space="preserve">Sajid Javid was announced as Home Secretary on 30 </w:t>
                                  </w:r>
                                  <w:r>
                                    <w:rPr>
                                      <w:rFonts w:asciiTheme="minorHAnsi" w:eastAsiaTheme="minorHAnsi" w:hAnsiTheme="minorHAnsi" w:cstheme="minorBidi"/>
                                      <w:b w:val="0"/>
                                      <w:bCs w:val="0"/>
                                      <w:caps w:val="0"/>
                                      <w:sz w:val="22"/>
                                    </w:rPr>
                                    <w:t>April</w:t>
                                  </w:r>
                                  <w:r w:rsidRPr="00A057C6">
                                    <w:rPr>
                                      <w:rFonts w:asciiTheme="minorHAnsi" w:eastAsiaTheme="minorHAnsi" w:hAnsiTheme="minorHAnsi" w:cstheme="minorBidi"/>
                                      <w:b w:val="0"/>
                                      <w:bCs w:val="0"/>
                                      <w:caps w:val="0"/>
                                      <w:sz w:val="22"/>
                                    </w:rPr>
                                    <w:t>, following Amber</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Rudd’s resignation for inadvertently misleading Parliament regarding Home</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Office removal targets in the wake of the Windrush scandal.</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In his first appearance in Parliament as Home Secretary, Javid distanced</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himself from the language of a “hostile environment” for illegal</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immigrants, coined by then Home Secretary Theresa May in 2014.</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 think the terminology is incorrect, I think it's a phrase that is</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 xml:space="preserve">unhelpful and does not represent the values as a country,” Javid told </w:t>
                                  </w:r>
                                  <w:proofErr w:type="spellStart"/>
                                  <w:r w:rsidRPr="00A057C6">
                                    <w:rPr>
                                      <w:rFonts w:asciiTheme="minorHAnsi" w:eastAsiaTheme="minorHAnsi" w:hAnsiTheme="minorHAnsi" w:cstheme="minorBidi"/>
                                      <w:b w:val="0"/>
                                      <w:bCs w:val="0"/>
                                      <w:caps w:val="0"/>
                                      <w:sz w:val="22"/>
                                    </w:rPr>
                                    <w:t>MPs.He</w:t>
                                  </w:r>
                                  <w:proofErr w:type="spellEnd"/>
                                  <w:r w:rsidRPr="00A057C6">
                                    <w:rPr>
                                      <w:rFonts w:asciiTheme="minorHAnsi" w:eastAsiaTheme="minorHAnsi" w:hAnsiTheme="minorHAnsi" w:cstheme="minorBidi"/>
                                      <w:b w:val="0"/>
                                      <w:bCs w:val="0"/>
                                      <w:caps w:val="0"/>
                                      <w:sz w:val="22"/>
                                    </w:rPr>
                                    <w:t xml:space="preserve"> went on to say that he preferred the phrase "compliant environment"</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It is not yet clear whether and how the difference in language will</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translate to concrete policy changes.</w:t>
                                  </w:r>
                                </w:p>
                              </w:tc>
                            </w:tr>
                            <w:tr w:rsidR="0076320A" w:rsidTr="007060CF">
                              <w:trPr>
                                <w:trHeight w:hRule="exact" w:val="288"/>
                              </w:trPr>
                              <w:tc>
                                <w:tcPr>
                                  <w:tcW w:w="3518" w:type="dxa"/>
                                  <w:shd w:val="clear" w:color="auto" w:fill="7E2471"/>
                                </w:tcPr>
                                <w:p w:rsidR="0076320A" w:rsidRDefault="0076320A"/>
                              </w:tc>
                            </w:tr>
                            <w:tr w:rsidR="0076320A" w:rsidTr="007060CF">
                              <w:trPr>
                                <w:trHeight w:hRule="exact" w:val="3312"/>
                              </w:trPr>
                              <w:tc>
                                <w:tcPr>
                                  <w:tcW w:w="3518" w:type="dxa"/>
                                  <w:shd w:val="clear" w:color="auto" w:fill="7E2471"/>
                                </w:tcPr>
                                <w:p w:rsidR="0076320A" w:rsidRDefault="0076320A">
                                  <w:r>
                                    <w:rPr>
                                      <w:noProof/>
                                      <w:lang w:eastAsia="en-US"/>
                                    </w:rPr>
                                    <w:drawing>
                                      <wp:inline distT="0" distB="0" distL="0" distR="0" wp14:anchorId="1053E2C8" wp14:editId="7D2FD736">
                                        <wp:extent cx="2228850" cy="2228850"/>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stretch>
                                                  <a:fillRect/>
                                                </a:stretch>
                                              </pic:blipFill>
                                              <pic:spPr bwMode="auto">
                                                <a:xfrm>
                                                  <a:off x="0" y="0"/>
                                                  <a:ext cx="2228850" cy="2228850"/>
                                                </a:xfrm>
                                                <a:prstGeom prst="rect">
                                                  <a:avLst/>
                                                </a:prstGeom>
                                                <a:noFill/>
                                                <a:ln>
                                                  <a:noFill/>
                                                </a:ln>
                                              </pic:spPr>
                                            </pic:pic>
                                          </a:graphicData>
                                        </a:graphic>
                                      </wp:inline>
                                    </w:drawing>
                                  </w:r>
                                </w:p>
                              </w:tc>
                            </w:tr>
                          </w:tbl>
                          <w:p w:rsidR="0076320A" w:rsidRDefault="0076320A">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alt="Description: Text box sidebar" style="position:absolute;margin-left:0;margin-top:41.9pt;width:175.5pt;height:596.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" o:allowoverlap="f" fillcolor="#862678" stroked="f" strokeweight=".5pt">
                <v:textbox inset="0,0,0,0">
                  <w:txbxContent>
                    <w:tbl>
                      <w:tblPr>
                        <w:tblW w:w="0" w:type="auto"/>
                        <w:shd w:val="clear" w:color="auto" w:fill="7E2471"/>
                        <w:tblLayout w:type="fixed"/>
                        <w:tblCellMar>
                          <w:left w:w="0" w:type="dxa"/>
                          <w:right w:w="0" w:type="dxa"/>
                        </w:tblCellMar>
                        <w:tblLook w:val="04A0" w:firstRow="1" w:lastRow="0" w:firstColumn="1" w:lastColumn="0" w:noHBand="0" w:noVBand="1"/>
                        <w:tblDescription w:val="Sidebar layout table"/>
                      </w:tblPr>
                      <w:tblGrid>
                        <w:gridCol w:w="3518"/>
                      </w:tblGrid>
                      <w:tr w:rsidR="0076320A" w:rsidTr="007060CF">
                        <w:trPr>
                          <w:trHeight w:hRule="exact" w:val="8226"/>
                        </w:trPr>
                        <w:tc>
                          <w:tcPr>
                            <w:tcW w:w="3518" w:type="dxa"/>
                            <w:shd w:val="clear" w:color="auto" w:fill="7E2471"/>
                            <w:tcMar>
                              <w:top w:w="288" w:type="dxa"/>
                              <w:bottom w:w="288" w:type="dxa"/>
                            </w:tcMar>
                          </w:tcPr>
                          <w:p w:rsidR="0076320A" w:rsidRPr="00A057C6" w:rsidRDefault="0076320A">
                            <w:pPr>
                              <w:pStyle w:val="BlockHeading"/>
                              <w:rPr>
                                <w:sz w:val="26"/>
                                <w:szCs w:val="26"/>
                              </w:rPr>
                            </w:pPr>
                            <w:r w:rsidRPr="00A057C6">
                              <w:rPr>
                                <w:sz w:val="26"/>
                                <w:szCs w:val="26"/>
                              </w:rPr>
                              <w:t xml:space="preserve">end </w:t>
                            </w:r>
                            <w:r>
                              <w:rPr>
                                <w:sz w:val="26"/>
                                <w:szCs w:val="26"/>
                              </w:rPr>
                              <w:t>TO</w:t>
                            </w:r>
                            <w:r w:rsidRPr="00A057C6">
                              <w:rPr>
                                <w:sz w:val="26"/>
                                <w:szCs w:val="26"/>
                              </w:rPr>
                              <w:t xml:space="preserve"> the </w:t>
                            </w:r>
                            <w:r>
                              <w:rPr>
                                <w:sz w:val="26"/>
                                <w:szCs w:val="26"/>
                              </w:rPr>
                              <w:t>“</w:t>
                            </w:r>
                            <w:r w:rsidRPr="00A057C6">
                              <w:rPr>
                                <w:sz w:val="26"/>
                                <w:szCs w:val="26"/>
                              </w:rPr>
                              <w:t>hostile environment</w:t>
                            </w:r>
                            <w:r>
                              <w:rPr>
                                <w:sz w:val="26"/>
                                <w:szCs w:val="26"/>
                              </w:rPr>
                              <w:t>”</w:t>
                            </w:r>
                            <w:r w:rsidRPr="00A057C6">
                              <w:rPr>
                                <w:sz w:val="26"/>
                                <w:szCs w:val="26"/>
                              </w:rPr>
                              <w:t>?</w:t>
                            </w:r>
                          </w:p>
                          <w:p w:rsidR="0076320A"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 xml:space="preserve">Sajid Javid was announced as Home Secretary on 30 </w:t>
                            </w:r>
                            <w:r>
                              <w:rPr>
                                <w:rFonts w:asciiTheme="minorHAnsi" w:eastAsiaTheme="minorHAnsi" w:hAnsiTheme="minorHAnsi" w:cstheme="minorBidi"/>
                                <w:b w:val="0"/>
                                <w:bCs w:val="0"/>
                                <w:caps w:val="0"/>
                                <w:sz w:val="22"/>
                              </w:rPr>
                              <w:t>April</w:t>
                            </w:r>
                            <w:r w:rsidRPr="00A057C6">
                              <w:rPr>
                                <w:rFonts w:asciiTheme="minorHAnsi" w:eastAsiaTheme="minorHAnsi" w:hAnsiTheme="minorHAnsi" w:cstheme="minorBidi"/>
                                <w:b w:val="0"/>
                                <w:bCs w:val="0"/>
                                <w:caps w:val="0"/>
                                <w:sz w:val="22"/>
                              </w:rPr>
                              <w:t>, following Amber</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Rudd’s resignation for inadvertently misleading Parliament regarding Home</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Office removal targets in the wake of the Windrush scandal.</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In his first appearance in Parliament as Home Secretary, Javid distanced</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himself from the language of a “hostile environment” for illegal</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immigrants, coined by then Home Secretary Theresa May in 2014.</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 think the terminology is incorrect, I think it's a phrase that is</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 xml:space="preserve">unhelpful and does not represent the values as a country,” Javid told </w:t>
                            </w:r>
                            <w:proofErr w:type="spellStart"/>
                            <w:r w:rsidRPr="00A057C6">
                              <w:rPr>
                                <w:rFonts w:asciiTheme="minorHAnsi" w:eastAsiaTheme="minorHAnsi" w:hAnsiTheme="minorHAnsi" w:cstheme="minorBidi"/>
                                <w:b w:val="0"/>
                                <w:bCs w:val="0"/>
                                <w:caps w:val="0"/>
                                <w:sz w:val="22"/>
                              </w:rPr>
                              <w:t>MPs.He</w:t>
                            </w:r>
                            <w:proofErr w:type="spellEnd"/>
                            <w:r w:rsidRPr="00A057C6">
                              <w:rPr>
                                <w:rFonts w:asciiTheme="minorHAnsi" w:eastAsiaTheme="minorHAnsi" w:hAnsiTheme="minorHAnsi" w:cstheme="minorBidi"/>
                                <w:b w:val="0"/>
                                <w:bCs w:val="0"/>
                                <w:caps w:val="0"/>
                                <w:sz w:val="22"/>
                              </w:rPr>
                              <w:t xml:space="preserve"> went on to say that he preferred the phrase "compliant environment"</w:t>
                            </w:r>
                          </w:p>
                          <w:p w:rsidR="0076320A" w:rsidRPr="00A057C6" w:rsidRDefault="0076320A" w:rsidP="00A057C6">
                            <w:pPr>
                              <w:pStyle w:val="BlockHeading"/>
                              <w:rPr>
                                <w:rFonts w:asciiTheme="minorHAnsi" w:eastAsiaTheme="minorHAnsi" w:hAnsiTheme="minorHAnsi" w:cstheme="minorBidi"/>
                                <w:b w:val="0"/>
                                <w:bCs w:val="0"/>
                                <w:caps w:val="0"/>
                                <w:sz w:val="22"/>
                              </w:rPr>
                            </w:pPr>
                            <w:r w:rsidRPr="00A057C6">
                              <w:rPr>
                                <w:rFonts w:asciiTheme="minorHAnsi" w:eastAsiaTheme="minorHAnsi" w:hAnsiTheme="minorHAnsi" w:cstheme="minorBidi"/>
                                <w:b w:val="0"/>
                                <w:bCs w:val="0"/>
                                <w:caps w:val="0"/>
                                <w:sz w:val="22"/>
                              </w:rPr>
                              <w:t>It is not yet clear whether and how the difference in language will</w:t>
                            </w:r>
                            <w:r>
                              <w:rPr>
                                <w:rFonts w:asciiTheme="minorHAnsi" w:eastAsiaTheme="minorHAnsi" w:hAnsiTheme="minorHAnsi" w:cstheme="minorBidi"/>
                                <w:b w:val="0"/>
                                <w:bCs w:val="0"/>
                                <w:caps w:val="0"/>
                                <w:sz w:val="22"/>
                              </w:rPr>
                              <w:t xml:space="preserve"> </w:t>
                            </w:r>
                            <w:r w:rsidRPr="00A057C6">
                              <w:rPr>
                                <w:rFonts w:asciiTheme="minorHAnsi" w:eastAsiaTheme="minorHAnsi" w:hAnsiTheme="minorHAnsi" w:cstheme="minorBidi"/>
                                <w:b w:val="0"/>
                                <w:bCs w:val="0"/>
                                <w:caps w:val="0"/>
                                <w:sz w:val="22"/>
                              </w:rPr>
                              <w:t>translate to concrete policy changes.</w:t>
                            </w:r>
                          </w:p>
                        </w:tc>
                      </w:tr>
                      <w:tr w:rsidR="0076320A" w:rsidTr="007060CF">
                        <w:trPr>
                          <w:trHeight w:hRule="exact" w:val="288"/>
                        </w:trPr>
                        <w:tc>
                          <w:tcPr>
                            <w:tcW w:w="3518" w:type="dxa"/>
                            <w:shd w:val="clear" w:color="auto" w:fill="7E2471"/>
                          </w:tcPr>
                          <w:p w:rsidR="0076320A" w:rsidRDefault="0076320A"/>
                        </w:tc>
                      </w:tr>
                      <w:tr w:rsidR="0076320A" w:rsidTr="007060CF">
                        <w:trPr>
                          <w:trHeight w:hRule="exact" w:val="3312"/>
                        </w:trPr>
                        <w:tc>
                          <w:tcPr>
                            <w:tcW w:w="3518" w:type="dxa"/>
                            <w:shd w:val="clear" w:color="auto" w:fill="7E2471"/>
                          </w:tcPr>
                          <w:p w:rsidR="0076320A" w:rsidRDefault="0076320A">
                            <w:r>
                              <w:rPr>
                                <w:noProof/>
                                <w:lang w:eastAsia="en-US"/>
                              </w:rPr>
                              <w:drawing>
                                <wp:inline distT="0" distB="0" distL="0" distR="0" wp14:anchorId="1053E2C8" wp14:editId="7D2FD736">
                                  <wp:extent cx="2228850" cy="2228850"/>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1"/>
                                          <a:stretch>
                                            <a:fillRect/>
                                          </a:stretch>
                                        </pic:blipFill>
                                        <pic:spPr bwMode="auto">
                                          <a:xfrm>
                                            <a:off x="0" y="0"/>
                                            <a:ext cx="2228850" cy="2228850"/>
                                          </a:xfrm>
                                          <a:prstGeom prst="rect">
                                            <a:avLst/>
                                          </a:prstGeom>
                                          <a:noFill/>
                                          <a:ln>
                                            <a:noFill/>
                                          </a:ln>
                                        </pic:spPr>
                                      </pic:pic>
                                    </a:graphicData>
                                  </a:graphic>
                                </wp:inline>
                              </w:drawing>
                            </w:r>
                          </w:p>
                        </w:tc>
                      </w:tr>
                    </w:tbl>
                    <w:p w:rsidR="0076320A" w:rsidRDefault="0076320A">
                      <w:pPr>
                        <w:pStyle w:val="Caption"/>
                      </w:pPr>
                    </w:p>
                  </w:txbxContent>
                </v:textbox>
                <w10:wrap type="square" anchorx="margin"/>
              </v:shape>
            </w:pict>
          </mc:Fallback>
        </mc:AlternateContent>
      </w:r>
      <w:r w:rsidR="003517B1" w:rsidRPr="009F54C6">
        <w:rPr>
          <w:color w:val="808080" w:themeColor="background1" w:themeShade="80"/>
        </w:rPr>
        <w:t>May 2018</w:t>
      </w:r>
      <w:r w:rsidR="00D101DC">
        <w:rPr>
          <w:color w:val="808080" w:themeColor="background1" w:themeShade="80"/>
        </w:rPr>
        <w:t>,</w:t>
      </w:r>
      <w:r w:rsidR="00551CED">
        <w:rPr>
          <w:color w:val="808080" w:themeColor="background1" w:themeShade="80"/>
        </w:rPr>
        <w:t xml:space="preserve"> </w:t>
      </w:r>
      <w:r w:rsidR="00D101DC">
        <w:rPr>
          <w:color w:val="808080" w:themeColor="background1" w:themeShade="80"/>
        </w:rPr>
        <w:t>Goldsmith Chambers</w:t>
      </w:r>
    </w:p>
    <w:p w:rsidR="00A82319" w:rsidRPr="00BA335C" w:rsidRDefault="00BA335C">
      <w:pPr>
        <w:pStyle w:val="Heading2"/>
        <w:rPr>
          <w:sz w:val="28"/>
          <w:szCs w:val="28"/>
        </w:rPr>
      </w:pPr>
      <w:r w:rsidRPr="00BA335C">
        <w:rPr>
          <w:sz w:val="28"/>
          <w:szCs w:val="28"/>
        </w:rPr>
        <w:t>NEW BAIL GUIDANCE FOR IMMIGRATION JUDGES</w:t>
      </w:r>
    </w:p>
    <w:p w:rsidR="006343EF" w:rsidRDefault="00BA335C" w:rsidP="00AF6124">
      <w:pPr>
        <w:jc w:val="both"/>
      </w:pPr>
      <w:r>
        <w:t xml:space="preserve">The President of the </w:t>
      </w:r>
      <w:r w:rsidR="007060CF">
        <w:t>IAC</w:t>
      </w:r>
      <w:r>
        <w:t xml:space="preserve">, Judge Clements, has finally got around to issuing new </w:t>
      </w:r>
      <w:hyperlink r:id="rId12" w:history="1">
        <w:r w:rsidRPr="006343EF">
          <w:rPr>
            <w:rStyle w:val="Hyperlink"/>
          </w:rPr>
          <w:t>guidance</w:t>
        </w:r>
      </w:hyperlink>
      <w:r>
        <w:t xml:space="preserve"> following </w:t>
      </w:r>
      <w:r w:rsidR="00817FDD">
        <w:t>January’s</w:t>
      </w:r>
      <w:r>
        <w:t xml:space="preserve"> raft of changes to the immigration bail system wrought by Schedule 10 to the Immigration Act 2016.</w:t>
      </w:r>
    </w:p>
    <w:p w:rsidR="00A82319" w:rsidRDefault="006343EF" w:rsidP="00AF6124">
      <w:pPr>
        <w:jc w:val="both"/>
      </w:pPr>
      <w:r>
        <w:t xml:space="preserve">In the most surprising change, the new guidance </w:t>
      </w:r>
      <w:r w:rsidR="005322F1">
        <w:t>provides that</w:t>
      </w:r>
      <w:r>
        <w:t xml:space="preserve"> Judges </w:t>
      </w:r>
      <w:r w:rsidR="005322F1">
        <w:t xml:space="preserve">must </w:t>
      </w:r>
      <w:r>
        <w:t>not encourage the withdrawal of applications</w:t>
      </w:r>
      <w:r w:rsidR="005322F1">
        <w:t xml:space="preserve"> on the day</w:t>
      </w:r>
      <w:r>
        <w:t xml:space="preserve"> as an alternative to refusing bail.</w:t>
      </w:r>
      <w:r w:rsidR="005322F1">
        <w:t xml:space="preserve"> A common tactic when listed before certain Judges or where a clear preliminary view is given, Judges are now being told to scrutinize any withdrawal and that in most cases it will be more appropriate to refuse. </w:t>
      </w:r>
    </w:p>
    <w:p w:rsidR="00A82319" w:rsidRPr="005322F1" w:rsidRDefault="005322F1" w:rsidP="00AF6124">
      <w:pPr>
        <w:pStyle w:val="Quote"/>
        <w:ind w:right="27"/>
        <w:rPr>
          <w:sz w:val="20"/>
        </w:rPr>
      </w:pPr>
      <w:r>
        <w:rPr>
          <w:sz w:val="20"/>
        </w:rPr>
        <w:t>“…</w:t>
      </w:r>
      <w:r w:rsidRPr="005322F1">
        <w:rPr>
          <w:sz w:val="20"/>
        </w:rPr>
        <w:t>it is likely at that stage in the proceedings that it will be in the</w:t>
      </w:r>
      <w:r>
        <w:rPr>
          <w:sz w:val="20"/>
        </w:rPr>
        <w:t xml:space="preserve"> </w:t>
      </w:r>
      <w:r w:rsidRPr="005322F1">
        <w:rPr>
          <w:sz w:val="20"/>
        </w:rPr>
        <w:t>interests of justice to refuse bail rather than accept the</w:t>
      </w:r>
      <w:r>
        <w:rPr>
          <w:sz w:val="20"/>
        </w:rPr>
        <w:t xml:space="preserve"> </w:t>
      </w:r>
      <w:r w:rsidRPr="005322F1">
        <w:rPr>
          <w:sz w:val="20"/>
        </w:rPr>
        <w:t>withdrawal.</w:t>
      </w:r>
      <w:r>
        <w:rPr>
          <w:sz w:val="20"/>
        </w:rPr>
        <w:t>”</w:t>
      </w:r>
    </w:p>
    <w:p w:rsidR="005322F1" w:rsidRDefault="00817FDD" w:rsidP="00AF6124">
      <w:pPr>
        <w:jc w:val="both"/>
      </w:pPr>
      <w:r>
        <w:t>Bearing in mind the result of any refusal is that any further application made within 28 days will have to overcome a preliminary hurdle of there having been “a material change in circumstances”, the practice of many Judges to encourage withdrawal</w:t>
      </w:r>
      <w:r w:rsidR="00C43CAB">
        <w:t xml:space="preserve"> often</w:t>
      </w:r>
      <w:r>
        <w:t xml:space="preserve"> provided a fairer, more reasonable outcome.</w:t>
      </w:r>
    </w:p>
    <w:p w:rsidR="00817FDD" w:rsidRDefault="00817FDD" w:rsidP="007060CF">
      <w:pPr>
        <w:shd w:val="clear" w:color="auto" w:fill="FFFFFF" w:themeFill="background1"/>
        <w:jc w:val="both"/>
      </w:pPr>
      <w:r>
        <w:t>It is yet to be seen how fair-minded Judges will implement this guidance and whether the approach to “a material change” will correspondingly soften. Often the making of an application causes a flurry of</w:t>
      </w:r>
      <w:r w:rsidR="00E16B6C">
        <w:t xml:space="preserve"> Home Office</w:t>
      </w:r>
      <w:r>
        <w:t xml:space="preserve"> activity, with the result that the situation </w:t>
      </w:r>
      <w:r w:rsidR="00E16B6C">
        <w:t>by</w:t>
      </w:r>
      <w:r>
        <w:t xml:space="preserve"> the day of the hearing is markedly different. </w:t>
      </w:r>
      <w:r w:rsidR="00C43CAB">
        <w:t>It is hoped that withdrawal will still be accepted in such cases.</w:t>
      </w:r>
    </w:p>
    <w:p w:rsidR="00A82319" w:rsidRPr="00817FDD" w:rsidRDefault="00817FDD" w:rsidP="007060CF">
      <w:pPr>
        <w:pStyle w:val="Heading1"/>
        <w:spacing w:before="0" w:after="0"/>
        <w:rPr>
          <w:sz w:val="23"/>
          <w:szCs w:val="23"/>
        </w:rPr>
      </w:pPr>
      <w:r w:rsidRPr="00817FDD">
        <w:rPr>
          <w:sz w:val="23"/>
          <w:szCs w:val="23"/>
        </w:rPr>
        <w:t>DAMNING APPEAL FIGURES CONDEMNED BY LAW SOCIETY</w:t>
      </w:r>
    </w:p>
    <w:p w:rsidR="00A82319" w:rsidRDefault="00817FDD" w:rsidP="00D05B12">
      <w:pPr>
        <w:jc w:val="both"/>
        <w:rPr>
          <w:noProof/>
        </w:rPr>
      </w:pPr>
      <w:r w:rsidRPr="00817FDD">
        <w:rPr>
          <w:noProof/>
        </w:rPr>
        <w:t xml:space="preserve">A press release from Law Society </w:t>
      </w:r>
      <w:r>
        <w:rPr>
          <w:noProof/>
        </w:rPr>
        <w:t xml:space="preserve">President </w:t>
      </w:r>
      <w:r w:rsidRPr="00817FDD">
        <w:rPr>
          <w:noProof/>
        </w:rPr>
        <w:t>Joe Egan has pointed to delays, spiralling fees and figures that almost 50% of immigration and asylum appeals are allowed, as demonstrating “serious flaws” in the way applications are being dealt with by the Home Office. In a statement, Egan said:</w:t>
      </w:r>
    </w:p>
    <w:p w:rsidR="00817FDD" w:rsidRPr="00E16B6C" w:rsidRDefault="00817FDD" w:rsidP="00D05B12">
      <w:pPr>
        <w:jc w:val="center"/>
        <w:rPr>
          <w:i/>
          <w:noProof/>
        </w:rPr>
      </w:pPr>
      <w:r w:rsidRPr="00E16B6C">
        <w:rPr>
          <w:i/>
          <w:noProof/>
        </w:rPr>
        <w:t>“These grave problems in our immigration and asylum system undermine the rule of law, while also damaging our country’s reputation for justice and fairness. We need an immigration and asylum process that is fit for purpose and that makes lawful, timely, consistent decisions.</w:t>
      </w:r>
    </w:p>
    <w:p w:rsidR="00817FDD" w:rsidRPr="00E16B6C" w:rsidRDefault="00817FDD" w:rsidP="00863307">
      <w:pPr>
        <w:jc w:val="center"/>
        <w:rPr>
          <w:i/>
          <w:noProof/>
        </w:rPr>
      </w:pPr>
      <w:r w:rsidRPr="00E16B6C">
        <w:rPr>
          <w:i/>
          <w:noProof/>
        </w:rPr>
        <w:t>“Given the three million EU nationals residing in the UK who may soon want certainty about their immigration status, the need for a robust, reliable and efficient immigration system is more pressing than ever.”</w:t>
      </w:r>
    </w:p>
    <w:p w:rsidR="00817FDD" w:rsidRPr="0027598E" w:rsidRDefault="00817FDD" w:rsidP="00D05B12">
      <w:pPr>
        <w:jc w:val="both"/>
      </w:pPr>
      <w:r>
        <w:t xml:space="preserve">Whilst practitioners on the ground will be wearily familiar with such complaints, it is hoped that such statements will bring the spotlight onto what is an increasingly hostile, </w:t>
      </w:r>
      <w:r w:rsidR="00E16B6C">
        <w:t>ex</w:t>
      </w:r>
      <w:r w:rsidR="001504BF">
        <w:t>pensiv</w:t>
      </w:r>
      <w:r w:rsidR="00E16B6C">
        <w:t xml:space="preserve">e and </w:t>
      </w:r>
      <w:r>
        <w:t>unfair</w:t>
      </w:r>
      <w:r w:rsidR="00E16B6C">
        <w:t>ly managed</w:t>
      </w:r>
      <w:r>
        <w:t xml:space="preserve"> system. </w:t>
      </w:r>
    </w:p>
    <w:p w:rsidR="00A82319" w:rsidRPr="00E16B6C" w:rsidRDefault="00E16B6C" w:rsidP="007060CF">
      <w:pPr>
        <w:pStyle w:val="Heading1"/>
        <w:spacing w:after="0"/>
        <w:rPr>
          <w:b w:val="0"/>
          <w:sz w:val="28"/>
          <w:szCs w:val="28"/>
        </w:rPr>
      </w:pPr>
      <w:r w:rsidRPr="00E16B6C">
        <w:rPr>
          <w:b w:val="0"/>
          <w:sz w:val="28"/>
          <w:szCs w:val="28"/>
        </w:rPr>
        <w:lastRenderedPageBreak/>
        <w:t>EU CITIZENS: GEARING UP FOR BREXIT</w:t>
      </w:r>
    </w:p>
    <w:p w:rsidR="00A82319" w:rsidRDefault="008851D1" w:rsidP="008851D1">
      <w:pPr>
        <w:jc w:val="both"/>
        <w:rPr>
          <w:noProof/>
        </w:rPr>
      </w:pPr>
      <w:r w:rsidRPr="008851D1">
        <w:rPr>
          <w:noProof/>
        </w:rPr>
        <w:t>A report by the Migration Observatory at Oxford University highlight</w:t>
      </w:r>
      <w:r>
        <w:rPr>
          <w:noProof/>
        </w:rPr>
        <w:t>s</w:t>
      </w:r>
      <w:r w:rsidRPr="008851D1">
        <w:rPr>
          <w:noProof/>
        </w:rPr>
        <w:t xml:space="preserve"> the risk that many of the 3-4 million non-Irish European Citizens currently in the UK will end up without paperwork permitting them to remain after Brexit.</w:t>
      </w:r>
    </w:p>
    <w:p w:rsidR="008851D1" w:rsidRDefault="008851D1" w:rsidP="008851D1">
      <w:pPr>
        <w:jc w:val="both"/>
        <w:rPr>
          <w:noProof/>
        </w:rPr>
      </w:pPr>
      <w:r w:rsidRPr="008851D1">
        <w:rPr>
          <w:noProof/>
        </w:rPr>
        <w:t>The report, “Unsettled Status? Which EU Citizens are at Risk of Failing to Secure their Rights after Brexit?”, noted particular concerns that vulnerable groups, such as the elderly, children and those with mental health disorders, may not know or be able to complete the application process for transferring their status to leave under the Immigration Rules.</w:t>
      </w:r>
    </w:p>
    <w:p w:rsidR="008851D1" w:rsidRDefault="008851D1" w:rsidP="008851D1">
      <w:pPr>
        <w:jc w:val="both"/>
        <w:rPr>
          <w:noProof/>
        </w:rPr>
      </w:pPr>
      <w:r w:rsidRPr="008851D1">
        <w:rPr>
          <w:noProof/>
        </w:rPr>
        <w:t>Under the current policy envisaged by the Government, anyone who, by 31 December 2020, has been continuously and “lawfully” living in the UK for five years under EU law will be able to apply for ILR. Anyone who is already in the UK under EU law or who arrives by 31 December 2020 will be granted some form of leave until they are eligible for ILR. At present, in respect of other family members who might later wish to join such people it is stated that:</w:t>
      </w:r>
    </w:p>
    <w:p w:rsidR="008851D1" w:rsidRDefault="008851D1" w:rsidP="00D05B12">
      <w:pPr>
        <w:jc w:val="center"/>
        <w:rPr>
          <w:i/>
          <w:noProof/>
        </w:rPr>
      </w:pPr>
      <w:r w:rsidRPr="008851D1">
        <w:rPr>
          <w:i/>
          <w:noProof/>
        </w:rPr>
        <w:t>“Close family members (spouses, civil and unmarried partners, dependent children and grandchildren, and dependent parents and grandparents) will be able to join EU citizens after exit, where the relationship existed on 31 December 2020.”</w:t>
      </w:r>
    </w:p>
    <w:p w:rsidR="008851D1" w:rsidRPr="008851D1" w:rsidRDefault="008851D1" w:rsidP="007060CF">
      <w:pPr>
        <w:shd w:val="clear" w:color="auto" w:fill="FFFFFF" w:themeFill="background1"/>
        <w:jc w:val="both"/>
        <w:rPr>
          <w:noProof/>
        </w:rPr>
      </w:pPr>
      <w:r w:rsidRPr="008851D1">
        <w:rPr>
          <w:noProof/>
        </w:rPr>
        <w:t>As Brexit looms, it is important that anyone affected is fully aware of all announcements from the Home Office regarding the system that will be used to administer the application process. Ministers have stated that it will be a streamlined, online process at the same cost as a British passport (currently £75.50). There has even been talk of a mobile app. However, nothing has been confirmed at this stage. Of course, many people will still need assistance throughout the process, not least in gathering all the evidence which no doubt will be specified and rigorously administered by the Home Office.</w:t>
      </w:r>
    </w:p>
    <w:p w:rsidR="002E6E02" w:rsidRPr="007060CF" w:rsidRDefault="000F5745" w:rsidP="007060CF">
      <w:pPr>
        <w:pStyle w:val="Heading1"/>
        <w:shd w:val="clear" w:color="auto" w:fill="808080" w:themeFill="background1" w:themeFillShade="80"/>
        <w:tabs>
          <w:tab w:val="left" w:pos="1050"/>
          <w:tab w:val="left" w:pos="1440"/>
          <w:tab w:val="center" w:pos="5400"/>
        </w:tabs>
        <w:rPr>
          <w:color w:val="FFFFFF" w:themeColor="background1"/>
          <w:sz w:val="44"/>
          <w:szCs w:val="44"/>
        </w:rPr>
      </w:pPr>
      <w:r>
        <w:rPr>
          <w:sz w:val="36"/>
          <w:szCs w:val="36"/>
        </w:rPr>
        <w:tab/>
      </w:r>
      <w:r>
        <w:rPr>
          <w:sz w:val="36"/>
          <w:szCs w:val="36"/>
        </w:rPr>
        <w:tab/>
      </w:r>
      <w:r w:rsidR="00B76528">
        <w:rPr>
          <w:sz w:val="36"/>
          <w:szCs w:val="36"/>
        </w:rPr>
        <w:tab/>
      </w:r>
      <w:r w:rsidR="008956E6" w:rsidRPr="007060CF">
        <w:rPr>
          <w:noProof/>
          <w:color w:val="FFFFFF" w:themeColor="background1"/>
          <w:sz w:val="44"/>
          <w:szCs w:val="44"/>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19325" cy="5391150"/>
                <wp:effectExtent l="0" t="0" r="9525"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19325" cy="5391150"/>
                        </a:xfrm>
                        <a:prstGeom prst="rect">
                          <a:avLst/>
                        </a:prstGeom>
                        <a:solidFill>
                          <a:srgbClr val="7E247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6320A" w:rsidTr="0076320A">
                              <w:trPr>
                                <w:trHeight w:hRule="exact" w:val="3312"/>
                              </w:trPr>
                              <w:tc>
                                <w:tcPr>
                                  <w:tcW w:w="3518" w:type="dxa"/>
                                </w:tcPr>
                                <w:p w:rsidR="0076320A" w:rsidRDefault="0076320A" w:rsidP="008851D1">
                                  <w:pPr>
                                    <w:shd w:val="clear" w:color="auto" w:fill="8D298F"/>
                                  </w:pPr>
                                  <w:r>
                                    <w:rPr>
                                      <w:noProof/>
                                      <w:lang w:eastAsia="en-US"/>
                                    </w:rPr>
                                    <w:drawing>
                                      <wp:inline distT="0" distB="0" distL="0" distR="0" wp14:anchorId="7000B966" wp14:editId="66D56887">
                                        <wp:extent cx="2208001" cy="22193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3"/>
                                                <a:stretch>
                                                  <a:fillRect/>
                                                </a:stretch>
                                              </pic:blipFill>
                                              <pic:spPr bwMode="auto">
                                                <a:xfrm>
                                                  <a:off x="0" y="0"/>
                                                  <a:ext cx="2212998" cy="2224348"/>
                                                </a:xfrm>
                                                <a:prstGeom prst="rect">
                                                  <a:avLst/>
                                                </a:prstGeom>
                                                <a:noFill/>
                                                <a:ln>
                                                  <a:noFill/>
                                                </a:ln>
                                              </pic:spPr>
                                            </pic:pic>
                                          </a:graphicData>
                                        </a:graphic>
                                      </wp:inline>
                                    </w:drawing>
                                  </w:r>
                                </w:p>
                              </w:tc>
                            </w:tr>
                          </w:tbl>
                          <w:p w:rsidR="0076320A" w:rsidRDefault="0076320A" w:rsidP="007060CF">
                            <w:pPr>
                              <w:pStyle w:val="ContactInfoBold"/>
                              <w:shd w:val="clear" w:color="auto" w:fill="7E2471"/>
                              <w:rPr>
                                <w:rFonts w:ascii="Arial" w:hAnsi="Arial" w:cs="Arial"/>
                                <w:color w:val="FFFFFF" w:themeColor="background1"/>
                              </w:rPr>
                            </w:pPr>
                          </w:p>
                          <w:p w:rsidR="0076320A" w:rsidRDefault="0076320A" w:rsidP="00E96694">
                            <w:pPr>
                              <w:pStyle w:val="ContactInfoBold"/>
                              <w:shd w:val="clear" w:color="auto" w:fill="7E2471"/>
                              <w:jc w:val="center"/>
                              <w:rPr>
                                <w:rFonts w:ascii="Arial" w:hAnsi="Arial" w:cs="Arial"/>
                                <w:b w:val="0"/>
                                <w:color w:val="FFFFFF" w:themeColor="background1"/>
                                <w:sz w:val="22"/>
                                <w:szCs w:val="22"/>
                                <w:u w:val="single"/>
                              </w:rPr>
                            </w:pPr>
                            <w:r>
                              <w:rPr>
                                <w:rFonts w:ascii="Arial" w:hAnsi="Arial" w:cs="Arial"/>
                                <w:b w:val="0"/>
                                <w:color w:val="FFFFFF" w:themeColor="background1"/>
                                <w:sz w:val="22"/>
                                <w:szCs w:val="22"/>
                                <w:u w:val="single"/>
                              </w:rPr>
                              <w:t xml:space="preserve">Upcoming </w:t>
                            </w:r>
                            <w:r w:rsidRPr="00E96694">
                              <w:rPr>
                                <w:rFonts w:ascii="Arial" w:hAnsi="Arial" w:cs="Arial"/>
                                <w:b w:val="0"/>
                                <w:color w:val="FFFFFF" w:themeColor="background1"/>
                                <w:sz w:val="22"/>
                                <w:szCs w:val="22"/>
                                <w:u w:val="single"/>
                              </w:rPr>
                              <w:t>Goldsmith Events</w:t>
                            </w:r>
                          </w:p>
                          <w:p w:rsidR="003C0BAD" w:rsidRDefault="003C0BAD" w:rsidP="00E96694">
                            <w:pPr>
                              <w:pStyle w:val="ContactInfoBold"/>
                              <w:shd w:val="clear" w:color="auto" w:fill="7E2471"/>
                              <w:jc w:val="center"/>
                              <w:rPr>
                                <w:rFonts w:ascii="Arial" w:hAnsi="Arial" w:cs="Arial"/>
                                <w:b w:val="0"/>
                                <w:color w:val="FFFFFF" w:themeColor="background1"/>
                                <w:sz w:val="22"/>
                                <w:szCs w:val="22"/>
                                <w:u w:val="single"/>
                              </w:rPr>
                            </w:pPr>
                          </w:p>
                          <w:p w:rsidR="003C0BAD" w:rsidRDefault="003C0BAD" w:rsidP="003C0BAD">
                            <w:pPr>
                              <w:pStyle w:val="ContactInfoBold"/>
                              <w:numPr>
                                <w:ilvl w:val="0"/>
                                <w:numId w:val="1"/>
                              </w:numPr>
                              <w:shd w:val="clear" w:color="auto" w:fill="7E2471"/>
                              <w:ind w:right="376"/>
                              <w:rPr>
                                <w:rFonts w:ascii="Arial" w:hAnsi="Arial" w:cs="Arial"/>
                                <w:b w:val="0"/>
                                <w:color w:val="FFFFFF" w:themeColor="background1"/>
                                <w:sz w:val="22"/>
                                <w:szCs w:val="22"/>
                              </w:rPr>
                            </w:pPr>
                            <w:r>
                              <w:rPr>
                                <w:rFonts w:ascii="Arial" w:hAnsi="Arial" w:cs="Arial"/>
                                <w:b w:val="0"/>
                                <w:color w:val="FFFFFF" w:themeColor="background1"/>
                                <w:sz w:val="22"/>
                                <w:szCs w:val="22"/>
                              </w:rPr>
                              <w:t>B</w:t>
                            </w:r>
                            <w:r w:rsidRPr="003C0BAD">
                              <w:rPr>
                                <w:rFonts w:ascii="Arial" w:hAnsi="Arial" w:cs="Arial"/>
                                <w:b w:val="0"/>
                                <w:color w:val="FFFFFF" w:themeColor="background1"/>
                                <w:sz w:val="22"/>
                                <w:szCs w:val="22"/>
                              </w:rPr>
                              <w:t>ook launch</w:t>
                            </w:r>
                            <w:r w:rsidR="0068602C">
                              <w:rPr>
                                <w:rFonts w:ascii="Arial" w:hAnsi="Arial" w:cs="Arial"/>
                                <w:b w:val="0"/>
                                <w:color w:val="FFFFFF" w:themeColor="background1"/>
                                <w:sz w:val="22"/>
                                <w:szCs w:val="22"/>
                              </w:rPr>
                              <w:t xml:space="preserve"> party</w:t>
                            </w:r>
                            <w:r w:rsidRPr="003C0BAD">
                              <w:rPr>
                                <w:rFonts w:ascii="Arial" w:hAnsi="Arial" w:cs="Arial"/>
                                <w:b w:val="0"/>
                                <w:color w:val="FFFFFF" w:themeColor="background1"/>
                                <w:sz w:val="22"/>
                                <w:szCs w:val="22"/>
                              </w:rPr>
                              <w:t>: 10</w:t>
                            </w:r>
                            <w:r w:rsidRPr="003C0BAD">
                              <w:rPr>
                                <w:rFonts w:ascii="Arial" w:hAnsi="Arial" w:cs="Arial"/>
                                <w:b w:val="0"/>
                                <w:color w:val="FFFFFF" w:themeColor="background1"/>
                                <w:sz w:val="22"/>
                                <w:szCs w:val="22"/>
                                <w:vertAlign w:val="superscript"/>
                              </w:rPr>
                              <w:t>th</w:t>
                            </w:r>
                            <w:r w:rsidRPr="003C0BAD">
                              <w:rPr>
                                <w:rFonts w:ascii="Arial" w:hAnsi="Arial" w:cs="Arial"/>
                                <w:b w:val="0"/>
                                <w:color w:val="FFFFFF" w:themeColor="background1"/>
                                <w:sz w:val="22"/>
                                <w:szCs w:val="22"/>
                              </w:rPr>
                              <w:t xml:space="preserve"> edition of </w:t>
                            </w:r>
                            <w:r w:rsidR="0068602C">
                              <w:rPr>
                                <w:rFonts w:ascii="Arial" w:hAnsi="Arial" w:cs="Arial"/>
                                <w:b w:val="0"/>
                                <w:color w:val="FFFFFF" w:themeColor="background1"/>
                                <w:sz w:val="22"/>
                                <w:szCs w:val="22"/>
                              </w:rPr>
                              <w:t>Phelan’s</w:t>
                            </w:r>
                            <w:r w:rsidRPr="003C0BAD">
                              <w:rPr>
                                <w:rFonts w:ascii="Arial" w:hAnsi="Arial" w:cs="Arial"/>
                                <w:b w:val="0"/>
                                <w:color w:val="FFFFFF" w:themeColor="background1"/>
                                <w:sz w:val="22"/>
                                <w:szCs w:val="22"/>
                              </w:rPr>
                              <w:t xml:space="preserve"> “Immigration Law Handbook” publication and new editing team celebration</w:t>
                            </w:r>
                            <w:r>
                              <w:rPr>
                                <w:rFonts w:ascii="Arial" w:hAnsi="Arial" w:cs="Arial"/>
                                <w:b w:val="0"/>
                                <w:color w:val="FFFFFF" w:themeColor="background1"/>
                                <w:sz w:val="22"/>
                                <w:szCs w:val="22"/>
                              </w:rPr>
                              <w:t xml:space="preserve"> – date TBA</w:t>
                            </w:r>
                          </w:p>
                          <w:p w:rsidR="003C0BAD" w:rsidRDefault="003C0BAD" w:rsidP="003C0BAD">
                            <w:pPr>
                              <w:pStyle w:val="ContactInfoBold"/>
                              <w:shd w:val="clear" w:color="auto" w:fill="7E2471"/>
                              <w:ind w:left="502" w:right="376"/>
                              <w:rPr>
                                <w:rFonts w:ascii="Arial" w:hAnsi="Arial" w:cs="Arial"/>
                                <w:b w:val="0"/>
                                <w:color w:val="FFFFFF" w:themeColor="background1"/>
                                <w:sz w:val="22"/>
                                <w:szCs w:val="22"/>
                              </w:rPr>
                            </w:pPr>
                          </w:p>
                          <w:p w:rsidR="003C0BAD" w:rsidRPr="003C0BAD" w:rsidRDefault="000D1843" w:rsidP="000D1843">
                            <w:pPr>
                              <w:pStyle w:val="ContactInfoBold"/>
                              <w:numPr>
                                <w:ilvl w:val="0"/>
                                <w:numId w:val="1"/>
                              </w:numPr>
                              <w:shd w:val="clear" w:color="auto" w:fill="7E2471"/>
                              <w:ind w:right="93"/>
                              <w:rPr>
                                <w:rFonts w:ascii="Arial" w:hAnsi="Arial" w:cs="Arial"/>
                                <w:b w:val="0"/>
                                <w:color w:val="FFFFFF" w:themeColor="background1"/>
                                <w:sz w:val="22"/>
                                <w:szCs w:val="22"/>
                              </w:rPr>
                            </w:pPr>
                            <w:r>
                              <w:rPr>
                                <w:rFonts w:ascii="Arial" w:hAnsi="Arial" w:cs="Arial"/>
                                <w:b w:val="0"/>
                                <w:color w:val="FFFFFF" w:themeColor="background1"/>
                                <w:sz w:val="22"/>
                                <w:szCs w:val="22"/>
                              </w:rPr>
                              <w:t>Chambers s</w:t>
                            </w:r>
                            <w:r w:rsidR="003C0BAD">
                              <w:rPr>
                                <w:rFonts w:ascii="Arial" w:hAnsi="Arial" w:cs="Arial"/>
                                <w:b w:val="0"/>
                                <w:color w:val="FFFFFF" w:themeColor="background1"/>
                                <w:sz w:val="22"/>
                                <w:szCs w:val="22"/>
                              </w:rPr>
                              <w:t xml:space="preserve">eminar on </w:t>
                            </w:r>
                            <w:r w:rsidR="003C0BAD" w:rsidRPr="003C0BAD">
                              <w:rPr>
                                <w:rFonts w:ascii="Arial" w:hAnsi="Arial" w:cs="Arial"/>
                                <w:b w:val="0"/>
                                <w:i/>
                                <w:color w:val="FFFFFF" w:themeColor="background1"/>
                                <w:sz w:val="22"/>
                                <w:szCs w:val="22"/>
                              </w:rPr>
                              <w:t>Surinder Singh</w:t>
                            </w:r>
                            <w:r w:rsidR="003C0BAD">
                              <w:rPr>
                                <w:rFonts w:ascii="Arial" w:hAnsi="Arial" w:cs="Arial"/>
                                <w:b w:val="0"/>
                                <w:color w:val="FFFFFF" w:themeColor="background1"/>
                                <w:sz w:val="22"/>
                                <w:szCs w:val="22"/>
                              </w:rPr>
                              <w:t xml:space="preserve"> post </w:t>
                            </w:r>
                            <w:r w:rsidR="003C0BAD" w:rsidRPr="003C0BAD">
                              <w:rPr>
                                <w:rFonts w:ascii="Arial" w:hAnsi="Arial" w:cs="Arial"/>
                                <w:b w:val="0"/>
                                <w:i/>
                                <w:color w:val="FFFFFF" w:themeColor="background1"/>
                                <w:sz w:val="22"/>
                                <w:szCs w:val="22"/>
                              </w:rPr>
                              <w:t>Banger</w:t>
                            </w:r>
                            <w:r w:rsidR="003C0BAD">
                              <w:rPr>
                                <w:rFonts w:ascii="Arial" w:hAnsi="Arial" w:cs="Arial"/>
                                <w:b w:val="0"/>
                                <w:color w:val="FFFFFF" w:themeColor="background1"/>
                                <w:sz w:val="22"/>
                                <w:szCs w:val="22"/>
                              </w:rPr>
                              <w:t xml:space="preserve">: including talks by Counsel </w:t>
                            </w:r>
                            <w:r>
                              <w:rPr>
                                <w:rFonts w:ascii="Arial" w:hAnsi="Arial" w:cs="Arial"/>
                                <w:b w:val="0"/>
                                <w:color w:val="FFFFFF" w:themeColor="background1"/>
                                <w:sz w:val="22"/>
                                <w:szCs w:val="22"/>
                              </w:rPr>
                              <w:t>who represented</w:t>
                            </w:r>
                            <w:r w:rsidR="003C0BAD">
                              <w:rPr>
                                <w:rFonts w:ascii="Arial" w:hAnsi="Arial" w:cs="Arial"/>
                                <w:b w:val="0"/>
                                <w:color w:val="FFFFFF" w:themeColor="background1"/>
                                <w:sz w:val="22"/>
                                <w:szCs w:val="22"/>
                              </w:rPr>
                              <w:t xml:space="preserve"> Ms Banger in the CJEU</w:t>
                            </w:r>
                            <w:r>
                              <w:rPr>
                                <w:rFonts w:ascii="Arial" w:hAnsi="Arial" w:cs="Arial"/>
                                <w:b w:val="0"/>
                                <w:color w:val="FFFFFF" w:themeColor="background1"/>
                                <w:sz w:val="22"/>
                                <w:szCs w:val="22"/>
                              </w:rPr>
                              <w:t xml:space="preserve"> – date TBA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alt="Description: Text box sidebar" style="position:absolute;margin-left:0;margin-top:0;width:174.75pt;height:424.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" o:allowoverlap="f" fillcolor="#7e2471"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76320A" w:rsidTr="0076320A">
                        <w:trPr>
                          <w:trHeight w:hRule="exact" w:val="3312"/>
                        </w:trPr>
                        <w:tc>
                          <w:tcPr>
                            <w:tcW w:w="3518" w:type="dxa"/>
                          </w:tcPr>
                          <w:p w:rsidR="0076320A" w:rsidRDefault="0076320A" w:rsidP="008851D1">
                            <w:pPr>
                              <w:shd w:val="clear" w:color="auto" w:fill="8D298F"/>
                            </w:pPr>
                            <w:r>
                              <w:rPr>
                                <w:noProof/>
                                <w:lang w:eastAsia="en-US"/>
                              </w:rPr>
                              <w:drawing>
                                <wp:inline distT="0" distB="0" distL="0" distR="0" wp14:anchorId="7000B966" wp14:editId="66D56887">
                                  <wp:extent cx="2208001" cy="221932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13"/>
                                          <a:stretch>
                                            <a:fillRect/>
                                          </a:stretch>
                                        </pic:blipFill>
                                        <pic:spPr bwMode="auto">
                                          <a:xfrm>
                                            <a:off x="0" y="0"/>
                                            <a:ext cx="2212998" cy="2224348"/>
                                          </a:xfrm>
                                          <a:prstGeom prst="rect">
                                            <a:avLst/>
                                          </a:prstGeom>
                                          <a:noFill/>
                                          <a:ln>
                                            <a:noFill/>
                                          </a:ln>
                                        </pic:spPr>
                                      </pic:pic>
                                    </a:graphicData>
                                  </a:graphic>
                                </wp:inline>
                              </w:drawing>
                            </w:r>
                          </w:p>
                        </w:tc>
                      </w:tr>
                    </w:tbl>
                    <w:p w:rsidR="0076320A" w:rsidRDefault="0076320A" w:rsidP="007060CF">
                      <w:pPr>
                        <w:pStyle w:val="ContactInfoBold"/>
                        <w:shd w:val="clear" w:color="auto" w:fill="7E2471"/>
                        <w:rPr>
                          <w:rFonts w:ascii="Arial" w:hAnsi="Arial" w:cs="Arial"/>
                          <w:color w:val="FFFFFF" w:themeColor="background1"/>
                        </w:rPr>
                      </w:pPr>
                    </w:p>
                    <w:p w:rsidR="0076320A" w:rsidRDefault="0076320A" w:rsidP="00E96694">
                      <w:pPr>
                        <w:pStyle w:val="ContactInfoBold"/>
                        <w:shd w:val="clear" w:color="auto" w:fill="7E2471"/>
                        <w:jc w:val="center"/>
                        <w:rPr>
                          <w:rFonts w:ascii="Arial" w:hAnsi="Arial" w:cs="Arial"/>
                          <w:b w:val="0"/>
                          <w:color w:val="FFFFFF" w:themeColor="background1"/>
                          <w:sz w:val="22"/>
                          <w:szCs w:val="22"/>
                          <w:u w:val="single"/>
                        </w:rPr>
                      </w:pPr>
                      <w:r>
                        <w:rPr>
                          <w:rFonts w:ascii="Arial" w:hAnsi="Arial" w:cs="Arial"/>
                          <w:b w:val="0"/>
                          <w:color w:val="FFFFFF" w:themeColor="background1"/>
                          <w:sz w:val="22"/>
                          <w:szCs w:val="22"/>
                          <w:u w:val="single"/>
                        </w:rPr>
                        <w:t xml:space="preserve">Upcoming </w:t>
                      </w:r>
                      <w:r w:rsidRPr="00E96694">
                        <w:rPr>
                          <w:rFonts w:ascii="Arial" w:hAnsi="Arial" w:cs="Arial"/>
                          <w:b w:val="0"/>
                          <w:color w:val="FFFFFF" w:themeColor="background1"/>
                          <w:sz w:val="22"/>
                          <w:szCs w:val="22"/>
                          <w:u w:val="single"/>
                        </w:rPr>
                        <w:t>Goldsmith Events</w:t>
                      </w:r>
                    </w:p>
                    <w:p w:rsidR="003C0BAD" w:rsidRDefault="003C0BAD" w:rsidP="00E96694">
                      <w:pPr>
                        <w:pStyle w:val="ContactInfoBold"/>
                        <w:shd w:val="clear" w:color="auto" w:fill="7E2471"/>
                        <w:jc w:val="center"/>
                        <w:rPr>
                          <w:rFonts w:ascii="Arial" w:hAnsi="Arial" w:cs="Arial"/>
                          <w:b w:val="0"/>
                          <w:color w:val="FFFFFF" w:themeColor="background1"/>
                          <w:sz w:val="22"/>
                          <w:szCs w:val="22"/>
                          <w:u w:val="single"/>
                        </w:rPr>
                      </w:pPr>
                    </w:p>
                    <w:p w:rsidR="003C0BAD" w:rsidRDefault="003C0BAD" w:rsidP="003C0BAD">
                      <w:pPr>
                        <w:pStyle w:val="ContactInfoBold"/>
                        <w:numPr>
                          <w:ilvl w:val="0"/>
                          <w:numId w:val="1"/>
                        </w:numPr>
                        <w:shd w:val="clear" w:color="auto" w:fill="7E2471"/>
                        <w:ind w:right="376"/>
                        <w:rPr>
                          <w:rFonts w:ascii="Arial" w:hAnsi="Arial" w:cs="Arial"/>
                          <w:b w:val="0"/>
                          <w:color w:val="FFFFFF" w:themeColor="background1"/>
                          <w:sz w:val="22"/>
                          <w:szCs w:val="22"/>
                        </w:rPr>
                      </w:pPr>
                      <w:r>
                        <w:rPr>
                          <w:rFonts w:ascii="Arial" w:hAnsi="Arial" w:cs="Arial"/>
                          <w:b w:val="0"/>
                          <w:color w:val="FFFFFF" w:themeColor="background1"/>
                          <w:sz w:val="22"/>
                          <w:szCs w:val="22"/>
                        </w:rPr>
                        <w:t>B</w:t>
                      </w:r>
                      <w:r w:rsidRPr="003C0BAD">
                        <w:rPr>
                          <w:rFonts w:ascii="Arial" w:hAnsi="Arial" w:cs="Arial"/>
                          <w:b w:val="0"/>
                          <w:color w:val="FFFFFF" w:themeColor="background1"/>
                          <w:sz w:val="22"/>
                          <w:szCs w:val="22"/>
                        </w:rPr>
                        <w:t>ook launch</w:t>
                      </w:r>
                      <w:r w:rsidR="0068602C">
                        <w:rPr>
                          <w:rFonts w:ascii="Arial" w:hAnsi="Arial" w:cs="Arial"/>
                          <w:b w:val="0"/>
                          <w:color w:val="FFFFFF" w:themeColor="background1"/>
                          <w:sz w:val="22"/>
                          <w:szCs w:val="22"/>
                        </w:rPr>
                        <w:t xml:space="preserve"> party</w:t>
                      </w:r>
                      <w:r w:rsidRPr="003C0BAD">
                        <w:rPr>
                          <w:rFonts w:ascii="Arial" w:hAnsi="Arial" w:cs="Arial"/>
                          <w:b w:val="0"/>
                          <w:color w:val="FFFFFF" w:themeColor="background1"/>
                          <w:sz w:val="22"/>
                          <w:szCs w:val="22"/>
                        </w:rPr>
                        <w:t>: 10</w:t>
                      </w:r>
                      <w:r w:rsidRPr="003C0BAD">
                        <w:rPr>
                          <w:rFonts w:ascii="Arial" w:hAnsi="Arial" w:cs="Arial"/>
                          <w:b w:val="0"/>
                          <w:color w:val="FFFFFF" w:themeColor="background1"/>
                          <w:sz w:val="22"/>
                          <w:szCs w:val="22"/>
                          <w:vertAlign w:val="superscript"/>
                        </w:rPr>
                        <w:t>th</w:t>
                      </w:r>
                      <w:r w:rsidRPr="003C0BAD">
                        <w:rPr>
                          <w:rFonts w:ascii="Arial" w:hAnsi="Arial" w:cs="Arial"/>
                          <w:b w:val="0"/>
                          <w:color w:val="FFFFFF" w:themeColor="background1"/>
                          <w:sz w:val="22"/>
                          <w:szCs w:val="22"/>
                        </w:rPr>
                        <w:t xml:space="preserve"> edition of </w:t>
                      </w:r>
                      <w:r w:rsidR="0068602C">
                        <w:rPr>
                          <w:rFonts w:ascii="Arial" w:hAnsi="Arial" w:cs="Arial"/>
                          <w:b w:val="0"/>
                          <w:color w:val="FFFFFF" w:themeColor="background1"/>
                          <w:sz w:val="22"/>
                          <w:szCs w:val="22"/>
                        </w:rPr>
                        <w:t>Phelan’s</w:t>
                      </w:r>
                      <w:r w:rsidRPr="003C0BAD">
                        <w:rPr>
                          <w:rFonts w:ascii="Arial" w:hAnsi="Arial" w:cs="Arial"/>
                          <w:b w:val="0"/>
                          <w:color w:val="FFFFFF" w:themeColor="background1"/>
                          <w:sz w:val="22"/>
                          <w:szCs w:val="22"/>
                        </w:rPr>
                        <w:t xml:space="preserve"> “Immigration Law Handbook” publication and new editing team celebration</w:t>
                      </w:r>
                      <w:r>
                        <w:rPr>
                          <w:rFonts w:ascii="Arial" w:hAnsi="Arial" w:cs="Arial"/>
                          <w:b w:val="0"/>
                          <w:color w:val="FFFFFF" w:themeColor="background1"/>
                          <w:sz w:val="22"/>
                          <w:szCs w:val="22"/>
                        </w:rPr>
                        <w:t xml:space="preserve"> – date TBA</w:t>
                      </w:r>
                    </w:p>
                    <w:p w:rsidR="003C0BAD" w:rsidRDefault="003C0BAD" w:rsidP="003C0BAD">
                      <w:pPr>
                        <w:pStyle w:val="ContactInfoBold"/>
                        <w:shd w:val="clear" w:color="auto" w:fill="7E2471"/>
                        <w:ind w:left="502" w:right="376"/>
                        <w:rPr>
                          <w:rFonts w:ascii="Arial" w:hAnsi="Arial" w:cs="Arial"/>
                          <w:b w:val="0"/>
                          <w:color w:val="FFFFFF" w:themeColor="background1"/>
                          <w:sz w:val="22"/>
                          <w:szCs w:val="22"/>
                        </w:rPr>
                      </w:pPr>
                    </w:p>
                    <w:p w:rsidR="003C0BAD" w:rsidRPr="003C0BAD" w:rsidRDefault="000D1843" w:rsidP="000D1843">
                      <w:pPr>
                        <w:pStyle w:val="ContactInfoBold"/>
                        <w:numPr>
                          <w:ilvl w:val="0"/>
                          <w:numId w:val="1"/>
                        </w:numPr>
                        <w:shd w:val="clear" w:color="auto" w:fill="7E2471"/>
                        <w:ind w:right="93"/>
                        <w:rPr>
                          <w:rFonts w:ascii="Arial" w:hAnsi="Arial" w:cs="Arial"/>
                          <w:b w:val="0"/>
                          <w:color w:val="FFFFFF" w:themeColor="background1"/>
                          <w:sz w:val="22"/>
                          <w:szCs w:val="22"/>
                        </w:rPr>
                      </w:pPr>
                      <w:r>
                        <w:rPr>
                          <w:rFonts w:ascii="Arial" w:hAnsi="Arial" w:cs="Arial"/>
                          <w:b w:val="0"/>
                          <w:color w:val="FFFFFF" w:themeColor="background1"/>
                          <w:sz w:val="22"/>
                          <w:szCs w:val="22"/>
                        </w:rPr>
                        <w:t>Chambers s</w:t>
                      </w:r>
                      <w:r w:rsidR="003C0BAD">
                        <w:rPr>
                          <w:rFonts w:ascii="Arial" w:hAnsi="Arial" w:cs="Arial"/>
                          <w:b w:val="0"/>
                          <w:color w:val="FFFFFF" w:themeColor="background1"/>
                          <w:sz w:val="22"/>
                          <w:szCs w:val="22"/>
                        </w:rPr>
                        <w:t xml:space="preserve">eminar on </w:t>
                      </w:r>
                      <w:r w:rsidR="003C0BAD" w:rsidRPr="003C0BAD">
                        <w:rPr>
                          <w:rFonts w:ascii="Arial" w:hAnsi="Arial" w:cs="Arial"/>
                          <w:b w:val="0"/>
                          <w:i/>
                          <w:color w:val="FFFFFF" w:themeColor="background1"/>
                          <w:sz w:val="22"/>
                          <w:szCs w:val="22"/>
                        </w:rPr>
                        <w:t>Surinder Singh</w:t>
                      </w:r>
                      <w:r w:rsidR="003C0BAD">
                        <w:rPr>
                          <w:rFonts w:ascii="Arial" w:hAnsi="Arial" w:cs="Arial"/>
                          <w:b w:val="0"/>
                          <w:color w:val="FFFFFF" w:themeColor="background1"/>
                          <w:sz w:val="22"/>
                          <w:szCs w:val="22"/>
                        </w:rPr>
                        <w:t xml:space="preserve"> post </w:t>
                      </w:r>
                      <w:r w:rsidR="003C0BAD" w:rsidRPr="003C0BAD">
                        <w:rPr>
                          <w:rFonts w:ascii="Arial" w:hAnsi="Arial" w:cs="Arial"/>
                          <w:b w:val="0"/>
                          <w:i/>
                          <w:color w:val="FFFFFF" w:themeColor="background1"/>
                          <w:sz w:val="22"/>
                          <w:szCs w:val="22"/>
                        </w:rPr>
                        <w:t>Banger</w:t>
                      </w:r>
                      <w:r w:rsidR="003C0BAD">
                        <w:rPr>
                          <w:rFonts w:ascii="Arial" w:hAnsi="Arial" w:cs="Arial"/>
                          <w:b w:val="0"/>
                          <w:color w:val="FFFFFF" w:themeColor="background1"/>
                          <w:sz w:val="22"/>
                          <w:szCs w:val="22"/>
                        </w:rPr>
                        <w:t xml:space="preserve">: including talks by Counsel </w:t>
                      </w:r>
                      <w:r>
                        <w:rPr>
                          <w:rFonts w:ascii="Arial" w:hAnsi="Arial" w:cs="Arial"/>
                          <w:b w:val="0"/>
                          <w:color w:val="FFFFFF" w:themeColor="background1"/>
                          <w:sz w:val="22"/>
                          <w:szCs w:val="22"/>
                        </w:rPr>
                        <w:t>who represented</w:t>
                      </w:r>
                      <w:r w:rsidR="003C0BAD">
                        <w:rPr>
                          <w:rFonts w:ascii="Arial" w:hAnsi="Arial" w:cs="Arial"/>
                          <w:b w:val="0"/>
                          <w:color w:val="FFFFFF" w:themeColor="background1"/>
                          <w:sz w:val="22"/>
                          <w:szCs w:val="22"/>
                        </w:rPr>
                        <w:t xml:space="preserve"> Ms Banger in the CJEU</w:t>
                      </w:r>
                      <w:r>
                        <w:rPr>
                          <w:rFonts w:ascii="Arial" w:hAnsi="Arial" w:cs="Arial"/>
                          <w:b w:val="0"/>
                          <w:color w:val="FFFFFF" w:themeColor="background1"/>
                          <w:sz w:val="22"/>
                          <w:szCs w:val="22"/>
                        </w:rPr>
                        <w:t xml:space="preserve"> – date TBA</w:t>
                      </w:r>
                    </w:p>
                  </w:txbxContent>
                </v:textbox>
                <w10:wrap type="square" anchorx="margin" anchory="margin"/>
                <w10:anchorlock/>
              </v:shape>
            </w:pict>
          </mc:Fallback>
        </mc:AlternateContent>
      </w:r>
      <w:r w:rsidRPr="007060CF">
        <w:rPr>
          <w:color w:val="FFFFFF" w:themeColor="background1"/>
          <w:sz w:val="44"/>
          <w:szCs w:val="44"/>
        </w:rPr>
        <w:t>RECENT CASELAW</w:t>
      </w:r>
      <w:r w:rsidR="006A5F02" w:rsidRPr="007060CF">
        <w:rPr>
          <w:color w:val="FFFFFF" w:themeColor="background1"/>
          <w:sz w:val="44"/>
          <w:szCs w:val="44"/>
        </w:rPr>
        <w:t xml:space="preserve"> </w:t>
      </w:r>
      <w:r w:rsidR="002E6E02" w:rsidRPr="007060CF">
        <w:rPr>
          <w:color w:val="FFFFFF" w:themeColor="background1"/>
          <w:sz w:val="44"/>
          <w:szCs w:val="44"/>
        </w:rPr>
        <w:t>NEWS</w:t>
      </w:r>
    </w:p>
    <w:p w:rsidR="000F5745" w:rsidRPr="000F5745" w:rsidRDefault="000F5745" w:rsidP="00453063">
      <w:pPr>
        <w:spacing w:before="240" w:after="0"/>
        <w:rPr>
          <w:b/>
          <w:noProof/>
          <w:color w:val="8D298F"/>
        </w:rPr>
      </w:pPr>
      <w:r w:rsidRPr="000F5745">
        <w:rPr>
          <w:b/>
          <w:noProof/>
          <w:color w:val="8D298F"/>
        </w:rPr>
        <w:t xml:space="preserve">Supreme Court to rule on the effect of children in article 8 cases </w:t>
      </w:r>
    </w:p>
    <w:p w:rsidR="000F5745" w:rsidRPr="000F5745" w:rsidRDefault="000F5745" w:rsidP="001504BF">
      <w:pPr>
        <w:jc w:val="both"/>
        <w:rPr>
          <w:noProof/>
          <w:sz w:val="18"/>
          <w:szCs w:val="18"/>
        </w:rPr>
      </w:pPr>
      <w:r w:rsidRPr="000F5745">
        <w:rPr>
          <w:noProof/>
          <w:sz w:val="18"/>
          <w:szCs w:val="18"/>
        </w:rPr>
        <w:t xml:space="preserve">In what is set to be a decision with enormous ramifications on the ground, the </w:t>
      </w:r>
      <w:hyperlink r:id="rId14" w:history="1">
        <w:r w:rsidRPr="00B47259">
          <w:rPr>
            <w:rStyle w:val="Hyperlink"/>
            <w:noProof/>
            <w:sz w:val="18"/>
            <w:szCs w:val="18"/>
          </w:rPr>
          <w:t>Supreme Court</w:t>
        </w:r>
      </w:hyperlink>
      <w:r w:rsidRPr="000F5745">
        <w:rPr>
          <w:noProof/>
          <w:sz w:val="18"/>
          <w:szCs w:val="18"/>
        </w:rPr>
        <w:t xml:space="preserve"> is currently considering what factors should be taken into account </w:t>
      </w:r>
      <w:r w:rsidR="003E445E">
        <w:rPr>
          <w:noProof/>
          <w:sz w:val="18"/>
          <w:szCs w:val="18"/>
        </w:rPr>
        <w:t>with</w:t>
      </w:r>
      <w:r w:rsidRPr="000F5745">
        <w:rPr>
          <w:noProof/>
          <w:sz w:val="18"/>
          <w:szCs w:val="18"/>
        </w:rPr>
        <w:t>in the “reasonable” and “unduly harsh” tests contained in Part 5 of the NIAA 2002 (and the Immigration Rules).</w:t>
      </w:r>
    </w:p>
    <w:p w:rsidR="000F5745" w:rsidRPr="000F5745" w:rsidRDefault="000F5745" w:rsidP="001504BF">
      <w:pPr>
        <w:jc w:val="both"/>
        <w:rPr>
          <w:noProof/>
          <w:sz w:val="18"/>
          <w:szCs w:val="18"/>
        </w:rPr>
      </w:pPr>
      <w:r w:rsidRPr="000F5745">
        <w:rPr>
          <w:noProof/>
          <w:sz w:val="18"/>
          <w:szCs w:val="18"/>
        </w:rPr>
        <w:t xml:space="preserve">The position following </w:t>
      </w:r>
      <w:r w:rsidRPr="00B231BF">
        <w:rPr>
          <w:i/>
          <w:noProof/>
          <w:sz w:val="18"/>
          <w:szCs w:val="18"/>
        </w:rPr>
        <w:t>MA (Pakistan)</w:t>
      </w:r>
      <w:r w:rsidRPr="000F5745">
        <w:rPr>
          <w:noProof/>
          <w:sz w:val="18"/>
          <w:szCs w:val="18"/>
        </w:rPr>
        <w:t xml:space="preserve"> and </w:t>
      </w:r>
      <w:r w:rsidRPr="00B231BF">
        <w:rPr>
          <w:i/>
          <w:noProof/>
          <w:sz w:val="18"/>
          <w:szCs w:val="18"/>
        </w:rPr>
        <w:t>MM (Uganda)</w:t>
      </w:r>
      <w:r w:rsidRPr="000F5745">
        <w:rPr>
          <w:noProof/>
          <w:sz w:val="18"/>
          <w:szCs w:val="18"/>
        </w:rPr>
        <w:t xml:space="preserve">, the two leading Court of Appeal authorities, is that the tests require a full assessment of </w:t>
      </w:r>
      <w:r w:rsidRPr="006A5F02">
        <w:rPr>
          <w:b/>
          <w:noProof/>
          <w:sz w:val="18"/>
          <w:szCs w:val="18"/>
          <w:u w:val="single"/>
        </w:rPr>
        <w:t>all</w:t>
      </w:r>
      <w:r w:rsidRPr="000F5745">
        <w:rPr>
          <w:noProof/>
          <w:sz w:val="18"/>
          <w:szCs w:val="18"/>
        </w:rPr>
        <w:t xml:space="preserve"> relevant public interest criteria. In practice this has meant that </w:t>
      </w:r>
      <w:r w:rsidR="00453063">
        <w:rPr>
          <w:noProof/>
          <w:sz w:val="18"/>
          <w:szCs w:val="18"/>
        </w:rPr>
        <w:t xml:space="preserve">other </w:t>
      </w:r>
      <w:r w:rsidRPr="000F5745">
        <w:rPr>
          <w:noProof/>
          <w:sz w:val="18"/>
          <w:szCs w:val="18"/>
        </w:rPr>
        <w:t>factors, most commonly the immigration history</w:t>
      </w:r>
      <w:r w:rsidR="0076320A">
        <w:rPr>
          <w:noProof/>
          <w:sz w:val="18"/>
          <w:szCs w:val="18"/>
        </w:rPr>
        <w:t xml:space="preserve"> and any </w:t>
      </w:r>
      <w:r w:rsidRPr="000F5745">
        <w:rPr>
          <w:noProof/>
          <w:sz w:val="18"/>
          <w:szCs w:val="18"/>
        </w:rPr>
        <w:t>criminality</w:t>
      </w:r>
      <w:r w:rsidR="0076320A">
        <w:rPr>
          <w:noProof/>
          <w:sz w:val="18"/>
          <w:szCs w:val="18"/>
        </w:rPr>
        <w:t xml:space="preserve"> or previous conduct</w:t>
      </w:r>
      <w:r w:rsidRPr="000F5745">
        <w:rPr>
          <w:noProof/>
          <w:sz w:val="18"/>
          <w:szCs w:val="18"/>
        </w:rPr>
        <w:t xml:space="preserve"> of the parent, have provided the Home Office with arguments to succeed in resisting otherwise strong family life claims where children are involved.</w:t>
      </w:r>
    </w:p>
    <w:p w:rsidR="00453063" w:rsidRDefault="000F5745" w:rsidP="001504BF">
      <w:pPr>
        <w:jc w:val="both"/>
        <w:rPr>
          <w:noProof/>
          <w:sz w:val="18"/>
          <w:szCs w:val="18"/>
        </w:rPr>
      </w:pPr>
      <w:r w:rsidRPr="000F5745">
        <w:rPr>
          <w:noProof/>
          <w:sz w:val="18"/>
          <w:szCs w:val="18"/>
        </w:rPr>
        <w:t xml:space="preserve">The claimants have sought to challenge that reading, arguing that the focus should instead be entirely on the position of the child. They argue that other factors are irrelevant on a correct reading of the statutory </w:t>
      </w:r>
      <w:r w:rsidR="00863307">
        <w:rPr>
          <w:noProof/>
          <w:sz w:val="18"/>
          <w:szCs w:val="18"/>
        </w:rPr>
        <w:t>“exceptions”</w:t>
      </w:r>
      <w:r w:rsidRPr="000F5745">
        <w:rPr>
          <w:noProof/>
          <w:sz w:val="18"/>
          <w:szCs w:val="18"/>
        </w:rPr>
        <w:t xml:space="preserve"> inserted by the Immigration Act 2014. If the Court agrees, it will mean that article 8 claim</w:t>
      </w:r>
      <w:r w:rsidR="006A5F02">
        <w:rPr>
          <w:noProof/>
          <w:sz w:val="18"/>
          <w:szCs w:val="18"/>
        </w:rPr>
        <w:t>s</w:t>
      </w:r>
      <w:r w:rsidRPr="000F5745">
        <w:rPr>
          <w:noProof/>
          <w:sz w:val="18"/>
          <w:szCs w:val="18"/>
        </w:rPr>
        <w:t xml:space="preserve"> </w:t>
      </w:r>
      <w:r w:rsidR="006A5F02">
        <w:rPr>
          <w:noProof/>
          <w:sz w:val="18"/>
          <w:szCs w:val="18"/>
        </w:rPr>
        <w:t>relying on</w:t>
      </w:r>
      <w:r w:rsidRPr="000F5745">
        <w:rPr>
          <w:noProof/>
          <w:sz w:val="18"/>
          <w:szCs w:val="18"/>
        </w:rPr>
        <w:t xml:space="preserve"> a parental relationship with a qualifying child </w:t>
      </w:r>
      <w:r w:rsidR="006A5F02">
        <w:rPr>
          <w:noProof/>
          <w:sz w:val="18"/>
          <w:szCs w:val="18"/>
        </w:rPr>
        <w:t xml:space="preserve">will stand </w:t>
      </w:r>
      <w:r w:rsidR="00E20AAB">
        <w:rPr>
          <w:noProof/>
          <w:sz w:val="18"/>
          <w:szCs w:val="18"/>
        </w:rPr>
        <w:t xml:space="preserve">a </w:t>
      </w:r>
      <w:r w:rsidR="006A5F02">
        <w:rPr>
          <w:noProof/>
          <w:sz w:val="18"/>
          <w:szCs w:val="18"/>
        </w:rPr>
        <w:t>much better chance</w:t>
      </w:r>
      <w:r w:rsidR="00E20AAB">
        <w:rPr>
          <w:noProof/>
          <w:sz w:val="18"/>
          <w:szCs w:val="18"/>
        </w:rPr>
        <w:t xml:space="preserve"> of succeeding</w:t>
      </w:r>
      <w:r w:rsidR="006A5F02">
        <w:rPr>
          <w:noProof/>
          <w:sz w:val="18"/>
          <w:szCs w:val="18"/>
        </w:rPr>
        <w:t>.</w:t>
      </w:r>
      <w:r w:rsidR="00655D5F">
        <w:rPr>
          <w:noProof/>
          <w:sz w:val="18"/>
          <w:szCs w:val="18"/>
        </w:rPr>
        <w:t xml:space="preserve"> </w:t>
      </w:r>
      <w:r w:rsidRPr="000F5745">
        <w:rPr>
          <w:noProof/>
          <w:sz w:val="18"/>
          <w:szCs w:val="18"/>
        </w:rPr>
        <w:t xml:space="preserve">The Supreme Court heard the case in April as </w:t>
      </w:r>
      <w:r w:rsidRPr="00863307">
        <w:rPr>
          <w:i/>
          <w:noProof/>
          <w:sz w:val="18"/>
          <w:szCs w:val="18"/>
        </w:rPr>
        <w:t>NS (Sri Lanka)</w:t>
      </w:r>
      <w:r w:rsidR="00D05B12" w:rsidRPr="00863307">
        <w:rPr>
          <w:i/>
          <w:noProof/>
          <w:sz w:val="18"/>
          <w:szCs w:val="18"/>
        </w:rPr>
        <w:t xml:space="preserve"> &amp; Others</w:t>
      </w:r>
      <w:r w:rsidRPr="000F5745">
        <w:rPr>
          <w:noProof/>
          <w:sz w:val="18"/>
          <w:szCs w:val="18"/>
        </w:rPr>
        <w:t xml:space="preserve">, with judgment expected in 3-6 months. </w:t>
      </w:r>
    </w:p>
    <w:p w:rsidR="00A82319" w:rsidRDefault="000F5745" w:rsidP="001504BF">
      <w:pPr>
        <w:jc w:val="both"/>
        <w:rPr>
          <w:noProof/>
          <w:sz w:val="18"/>
          <w:szCs w:val="18"/>
        </w:rPr>
      </w:pPr>
      <w:r w:rsidRPr="00863307">
        <w:rPr>
          <w:i/>
          <w:noProof/>
          <w:sz w:val="18"/>
          <w:szCs w:val="18"/>
        </w:rPr>
        <w:lastRenderedPageBreak/>
        <w:t>NS</w:t>
      </w:r>
      <w:r w:rsidRPr="000F5745">
        <w:rPr>
          <w:noProof/>
          <w:sz w:val="18"/>
          <w:szCs w:val="18"/>
        </w:rPr>
        <w:t xml:space="preserve"> a</w:t>
      </w:r>
      <w:r>
        <w:rPr>
          <w:noProof/>
          <w:sz w:val="18"/>
          <w:szCs w:val="18"/>
        </w:rPr>
        <w:t>nd the linked appellant</w:t>
      </w:r>
      <w:r w:rsidRPr="000F5745">
        <w:rPr>
          <w:noProof/>
          <w:sz w:val="18"/>
          <w:szCs w:val="18"/>
        </w:rPr>
        <w:t xml:space="preserve"> </w:t>
      </w:r>
      <w:r w:rsidR="00D05B12" w:rsidRPr="00863307">
        <w:rPr>
          <w:i/>
          <w:noProof/>
          <w:sz w:val="18"/>
          <w:szCs w:val="18"/>
        </w:rPr>
        <w:t>AR</w:t>
      </w:r>
      <w:r w:rsidRPr="000F5745">
        <w:rPr>
          <w:noProof/>
          <w:sz w:val="18"/>
          <w:szCs w:val="18"/>
        </w:rPr>
        <w:t xml:space="preserve"> were represented by </w:t>
      </w:r>
      <w:hyperlink r:id="rId15" w:history="1">
        <w:r w:rsidRPr="006A5F02">
          <w:rPr>
            <w:rStyle w:val="Hyperlink"/>
            <w:noProof/>
            <w:sz w:val="18"/>
            <w:szCs w:val="18"/>
          </w:rPr>
          <w:t>Charlotte Bayati</w:t>
        </w:r>
      </w:hyperlink>
      <w:r w:rsidRPr="000F5745">
        <w:rPr>
          <w:noProof/>
          <w:sz w:val="18"/>
          <w:szCs w:val="18"/>
        </w:rPr>
        <w:t xml:space="preserve"> of Goldsmith Chambers.</w:t>
      </w:r>
      <w:r w:rsidR="001504BF" w:rsidRPr="001504BF">
        <w:rPr>
          <w:noProof/>
          <w:sz w:val="18"/>
          <w:szCs w:val="18"/>
        </w:rPr>
        <w:t xml:space="preserve"> </w:t>
      </w:r>
    </w:p>
    <w:p w:rsidR="00453063" w:rsidRDefault="00453063" w:rsidP="000F5745">
      <w:pPr>
        <w:rPr>
          <w:b/>
          <w:i/>
          <w:noProof/>
          <w:color w:val="8D298F"/>
          <w:sz w:val="18"/>
          <w:szCs w:val="18"/>
        </w:rPr>
      </w:pPr>
      <w:r>
        <w:rPr>
          <w:noProof/>
          <w:sz w:val="18"/>
          <w:szCs w:val="18"/>
          <w:lang w:eastAsia="en-US"/>
        </w:rPr>
        <mc:AlternateContent>
          <mc:Choice Requires="wps">
            <w:drawing>
              <wp:anchor distT="0" distB="0" distL="114300" distR="114300" simplePos="0" relativeHeight="251679744" behindDoc="0" locked="0" layoutInCell="1" allowOverlap="1" wp14:anchorId="09D0B28E" wp14:editId="265E97CD">
                <wp:simplePos x="0" y="0"/>
                <wp:positionH relativeFrom="margin">
                  <wp:align>left</wp:align>
                </wp:positionH>
                <wp:positionV relativeFrom="paragraph">
                  <wp:posOffset>6986</wp:posOffset>
                </wp:positionV>
                <wp:extent cx="68389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79520" id="Straight Connector 19"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" strokecolor="#e76a1d [3204]" strokeweight="1.5pt">
                <v:stroke joinstyle="miter"/>
                <w10:wrap anchorx="margin"/>
              </v:line>
            </w:pict>
          </mc:Fallback>
        </mc:AlternateContent>
      </w:r>
    </w:p>
    <w:p w:rsidR="000F5745" w:rsidRPr="006764DF" w:rsidRDefault="000F5745" w:rsidP="00453063">
      <w:pPr>
        <w:spacing w:after="0"/>
        <w:rPr>
          <w:b/>
          <w:noProof/>
          <w:color w:val="8D298F"/>
        </w:rPr>
      </w:pPr>
      <w:r w:rsidRPr="006764DF">
        <w:rPr>
          <w:b/>
          <w:i/>
          <w:noProof/>
          <w:color w:val="8D298F"/>
        </w:rPr>
        <w:t>Banger</w:t>
      </w:r>
      <w:r w:rsidRPr="006764DF">
        <w:rPr>
          <w:b/>
          <w:noProof/>
          <w:color w:val="8D298F"/>
        </w:rPr>
        <w:t>: CJ</w:t>
      </w:r>
      <w:r w:rsidR="00976EAD">
        <w:rPr>
          <w:b/>
          <w:noProof/>
          <w:color w:val="8D298F"/>
        </w:rPr>
        <w:t>EU</w:t>
      </w:r>
      <w:r w:rsidRPr="006764DF">
        <w:rPr>
          <w:b/>
          <w:noProof/>
          <w:color w:val="8D298F"/>
        </w:rPr>
        <w:t xml:space="preserve"> to consider </w:t>
      </w:r>
      <w:r w:rsidRPr="006764DF">
        <w:rPr>
          <w:b/>
          <w:i/>
          <w:noProof/>
          <w:color w:val="8D298F"/>
        </w:rPr>
        <w:t>Surinder Singh</w:t>
      </w:r>
      <w:r w:rsidRPr="006764DF">
        <w:rPr>
          <w:b/>
          <w:noProof/>
          <w:color w:val="8D298F"/>
        </w:rPr>
        <w:t xml:space="preserve"> unmarried partners</w:t>
      </w:r>
    </w:p>
    <w:p w:rsidR="000F5745" w:rsidRPr="000F5745" w:rsidRDefault="000F5745" w:rsidP="00F371EA">
      <w:pPr>
        <w:jc w:val="both"/>
        <w:rPr>
          <w:noProof/>
          <w:sz w:val="18"/>
          <w:szCs w:val="18"/>
        </w:rPr>
      </w:pPr>
      <w:r w:rsidRPr="000F5745">
        <w:rPr>
          <w:noProof/>
          <w:sz w:val="18"/>
          <w:szCs w:val="18"/>
        </w:rPr>
        <w:t xml:space="preserve">A number of hugely important questions relating to whether the principles in </w:t>
      </w:r>
      <w:r w:rsidRPr="00B76528">
        <w:rPr>
          <w:i/>
          <w:noProof/>
          <w:sz w:val="18"/>
          <w:szCs w:val="18"/>
        </w:rPr>
        <w:t>Surinder Singh</w:t>
      </w:r>
      <w:r w:rsidRPr="000F5745">
        <w:rPr>
          <w:noProof/>
          <w:sz w:val="18"/>
          <w:szCs w:val="18"/>
        </w:rPr>
        <w:t xml:space="preserve"> apply to unmarried partners as they do to spouses is currently being considered by the</w:t>
      </w:r>
      <w:r w:rsidR="00976EAD">
        <w:rPr>
          <w:noProof/>
          <w:sz w:val="18"/>
          <w:szCs w:val="18"/>
        </w:rPr>
        <w:t xml:space="preserve"> </w:t>
      </w:r>
      <w:r w:rsidRPr="000F5745">
        <w:rPr>
          <w:noProof/>
          <w:sz w:val="18"/>
          <w:szCs w:val="18"/>
        </w:rPr>
        <w:t>Court of Justice (</w:t>
      </w:r>
      <w:hyperlink r:id="rId16" w:history="1">
        <w:r w:rsidRPr="00A05F2D">
          <w:rPr>
            <w:rStyle w:val="Hyperlink"/>
            <w:noProof/>
            <w:sz w:val="18"/>
            <w:szCs w:val="18"/>
          </w:rPr>
          <w:t>C-89/17 Secretary of State for the Home Department v Banger</w:t>
        </w:r>
      </w:hyperlink>
      <w:r w:rsidRPr="000F5745">
        <w:rPr>
          <w:noProof/>
          <w:sz w:val="18"/>
          <w:szCs w:val="18"/>
        </w:rPr>
        <w:t>).</w:t>
      </w:r>
    </w:p>
    <w:p w:rsidR="000F5745" w:rsidRDefault="000F5745" w:rsidP="00453063">
      <w:pPr>
        <w:spacing w:after="0"/>
        <w:jc w:val="both"/>
        <w:rPr>
          <w:noProof/>
          <w:sz w:val="18"/>
          <w:szCs w:val="18"/>
        </w:rPr>
      </w:pPr>
      <w:r w:rsidRPr="000F5745">
        <w:rPr>
          <w:noProof/>
          <w:sz w:val="18"/>
          <w:szCs w:val="18"/>
        </w:rPr>
        <w:t xml:space="preserve">Following the hearing in March, in which Ms Banger was represented by </w:t>
      </w:r>
      <w:hyperlink r:id="rId17" w:history="1">
        <w:r w:rsidRPr="006A5F02">
          <w:rPr>
            <w:rStyle w:val="Hyperlink"/>
            <w:noProof/>
            <w:sz w:val="18"/>
            <w:szCs w:val="18"/>
          </w:rPr>
          <w:t>Anthony Metzer QC</w:t>
        </w:r>
      </w:hyperlink>
      <w:r w:rsidRPr="000F5745">
        <w:rPr>
          <w:noProof/>
          <w:sz w:val="18"/>
          <w:szCs w:val="18"/>
        </w:rPr>
        <w:t xml:space="preserve"> and </w:t>
      </w:r>
      <w:hyperlink r:id="rId18" w:history="1">
        <w:r w:rsidRPr="006A5F02">
          <w:rPr>
            <w:rStyle w:val="Hyperlink"/>
            <w:noProof/>
            <w:sz w:val="18"/>
            <w:szCs w:val="18"/>
          </w:rPr>
          <w:t>Sanaz Saifolahi</w:t>
        </w:r>
      </w:hyperlink>
      <w:r w:rsidRPr="000F5745">
        <w:rPr>
          <w:noProof/>
          <w:sz w:val="18"/>
          <w:szCs w:val="18"/>
        </w:rPr>
        <w:t xml:space="preserve"> of Goldsmith Chambers, Advocate General Bobek has delivered his </w:t>
      </w:r>
      <w:hyperlink r:id="rId19" w:history="1">
        <w:r w:rsidRPr="00A05F2D">
          <w:rPr>
            <w:rStyle w:val="Hyperlink"/>
            <w:noProof/>
            <w:sz w:val="18"/>
            <w:szCs w:val="18"/>
          </w:rPr>
          <w:t>Opinion</w:t>
        </w:r>
      </w:hyperlink>
      <w:r w:rsidRPr="000F5745">
        <w:rPr>
          <w:noProof/>
          <w:sz w:val="18"/>
          <w:szCs w:val="18"/>
        </w:rPr>
        <w:t xml:space="preserve"> and it is in favour of the applicant’s argument that the principles apply equally in respect of those in a durable relationship. If the Court agrees, this could widen the route to </w:t>
      </w:r>
      <w:r w:rsidR="00733AB6">
        <w:rPr>
          <w:noProof/>
          <w:sz w:val="18"/>
          <w:szCs w:val="18"/>
        </w:rPr>
        <w:t xml:space="preserve">include </w:t>
      </w:r>
      <w:r w:rsidRPr="000F5745">
        <w:rPr>
          <w:noProof/>
          <w:sz w:val="18"/>
          <w:szCs w:val="18"/>
        </w:rPr>
        <w:t>unmarried partners</w:t>
      </w:r>
      <w:r w:rsidR="00733AB6">
        <w:rPr>
          <w:noProof/>
          <w:sz w:val="18"/>
          <w:szCs w:val="18"/>
        </w:rPr>
        <w:t xml:space="preserve"> for the first time</w:t>
      </w:r>
      <w:r w:rsidRPr="000F5745">
        <w:rPr>
          <w:noProof/>
          <w:sz w:val="18"/>
          <w:szCs w:val="18"/>
        </w:rPr>
        <w:t>. The final question</w:t>
      </w:r>
      <w:r w:rsidR="00863307">
        <w:rPr>
          <w:noProof/>
          <w:sz w:val="18"/>
          <w:szCs w:val="18"/>
        </w:rPr>
        <w:t xml:space="preserve"> referred by the UT</w:t>
      </w:r>
      <w:r w:rsidR="000F2C5E">
        <w:rPr>
          <w:noProof/>
          <w:sz w:val="18"/>
          <w:szCs w:val="18"/>
        </w:rPr>
        <w:t>,</w:t>
      </w:r>
      <w:r w:rsidRPr="000F5745">
        <w:rPr>
          <w:noProof/>
          <w:sz w:val="18"/>
          <w:szCs w:val="18"/>
        </w:rPr>
        <w:t xml:space="preserve"> whether </w:t>
      </w:r>
      <w:r w:rsidR="00863307">
        <w:rPr>
          <w:noProof/>
          <w:sz w:val="18"/>
          <w:szCs w:val="18"/>
        </w:rPr>
        <w:t xml:space="preserve">in such cases </w:t>
      </w:r>
      <w:r w:rsidR="000F2C5E">
        <w:rPr>
          <w:noProof/>
          <w:sz w:val="18"/>
          <w:szCs w:val="18"/>
        </w:rPr>
        <w:t xml:space="preserve">JR is an adequate remedy or a right of appeal is required, </w:t>
      </w:r>
      <w:r w:rsidRPr="000F5745">
        <w:rPr>
          <w:noProof/>
          <w:sz w:val="18"/>
          <w:szCs w:val="18"/>
        </w:rPr>
        <w:t>was considered by the A</w:t>
      </w:r>
      <w:r w:rsidR="00863307">
        <w:rPr>
          <w:noProof/>
          <w:sz w:val="18"/>
          <w:szCs w:val="18"/>
        </w:rPr>
        <w:t>dvocate General</w:t>
      </w:r>
      <w:r w:rsidRPr="000F5745">
        <w:rPr>
          <w:noProof/>
          <w:sz w:val="18"/>
          <w:szCs w:val="18"/>
        </w:rPr>
        <w:t xml:space="preserve"> to be a matter for the domestic courts.</w:t>
      </w:r>
      <w:r w:rsidR="00733AB6">
        <w:rPr>
          <w:noProof/>
          <w:sz w:val="18"/>
          <w:szCs w:val="18"/>
        </w:rPr>
        <w:t xml:space="preserve"> </w:t>
      </w:r>
      <w:r w:rsidRPr="000F5745">
        <w:rPr>
          <w:noProof/>
          <w:sz w:val="18"/>
          <w:szCs w:val="18"/>
        </w:rPr>
        <w:t>The Court’s judgment is expected in 3-6 months.</w:t>
      </w:r>
    </w:p>
    <w:p w:rsidR="00B76528" w:rsidRDefault="00B76528" w:rsidP="00B231BF">
      <w:pPr>
        <w:rPr>
          <w:b/>
          <w:noProof/>
          <w:color w:val="8D298F"/>
          <w:sz w:val="18"/>
          <w:szCs w:val="18"/>
        </w:rPr>
      </w:pPr>
      <w:r>
        <w:rPr>
          <w:noProof/>
          <w:sz w:val="18"/>
          <w:szCs w:val="18"/>
          <w:lang w:eastAsia="en-US"/>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128270</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6858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4A4A5B" id="Straight Connector 12"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10.1pt" to="102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" strokecolor="#e76a1d [3204]" strokeweight="1.5pt">
                <v:stroke joinstyle="miter"/>
                <w10:wrap anchorx="margin"/>
              </v:line>
            </w:pict>
          </mc:Fallback>
        </mc:AlternateContent>
      </w:r>
    </w:p>
    <w:p w:rsidR="00B231BF" w:rsidRPr="006764DF" w:rsidRDefault="00B231BF" w:rsidP="00453063">
      <w:pPr>
        <w:spacing w:after="0"/>
        <w:rPr>
          <w:b/>
          <w:noProof/>
          <w:color w:val="8D298F"/>
        </w:rPr>
      </w:pPr>
      <w:r w:rsidRPr="006764DF">
        <w:rPr>
          <w:b/>
          <w:noProof/>
          <w:color w:val="8D298F"/>
        </w:rPr>
        <w:t>New Country Guidance on risk in Kabul</w:t>
      </w:r>
    </w:p>
    <w:p w:rsidR="00C43CAB" w:rsidRDefault="00B231BF" w:rsidP="001504BF">
      <w:pPr>
        <w:jc w:val="both"/>
        <w:rPr>
          <w:noProof/>
          <w:sz w:val="18"/>
          <w:szCs w:val="18"/>
        </w:rPr>
      </w:pPr>
      <w:r w:rsidRPr="00B231BF">
        <w:rPr>
          <w:noProof/>
          <w:sz w:val="18"/>
          <w:szCs w:val="18"/>
        </w:rPr>
        <w:t xml:space="preserve">In </w:t>
      </w:r>
      <w:hyperlink r:id="rId20" w:history="1">
        <w:r w:rsidRPr="00C43CAB">
          <w:rPr>
            <w:rStyle w:val="Hyperlink"/>
            <w:noProof/>
            <w:sz w:val="18"/>
            <w:szCs w:val="18"/>
          </w:rPr>
          <w:t>AS (Safety of Kabul) Afghanistan CG [2018] UKUT 00118 (IAC)</w:t>
        </w:r>
      </w:hyperlink>
      <w:r w:rsidRPr="00B231BF">
        <w:rPr>
          <w:noProof/>
          <w:sz w:val="18"/>
          <w:szCs w:val="18"/>
        </w:rPr>
        <w:t xml:space="preserve">, </w:t>
      </w:r>
      <w:r w:rsidR="00C43CAB">
        <w:rPr>
          <w:noProof/>
          <w:sz w:val="18"/>
          <w:szCs w:val="18"/>
        </w:rPr>
        <w:t xml:space="preserve">UT </w:t>
      </w:r>
      <w:r w:rsidRPr="00B231BF">
        <w:rPr>
          <w:noProof/>
          <w:sz w:val="18"/>
          <w:szCs w:val="18"/>
        </w:rPr>
        <w:t xml:space="preserve">Judges Allen and Jackson considered </w:t>
      </w:r>
      <w:r w:rsidR="00B76528">
        <w:rPr>
          <w:noProof/>
          <w:sz w:val="18"/>
          <w:szCs w:val="18"/>
        </w:rPr>
        <w:t>some of the latest objective evidence coming out of Kabul.</w:t>
      </w:r>
      <w:r w:rsidR="00C43CAB">
        <w:rPr>
          <w:noProof/>
          <w:sz w:val="18"/>
          <w:szCs w:val="18"/>
        </w:rPr>
        <w:t xml:space="preserve"> </w:t>
      </w:r>
      <w:r w:rsidR="006A5F02">
        <w:rPr>
          <w:noProof/>
          <w:sz w:val="18"/>
          <w:szCs w:val="18"/>
        </w:rPr>
        <w:t xml:space="preserve">Although the Tribunal reiterated that every case will turn on its particular facts, the general rule for the foreseeable future will be that </w:t>
      </w:r>
      <w:r w:rsidR="00C43CAB">
        <w:rPr>
          <w:noProof/>
          <w:sz w:val="18"/>
          <w:szCs w:val="18"/>
        </w:rPr>
        <w:t xml:space="preserve">anyone of “lower interest” to the Taliban will not be at risk on relocation to Kabul. </w:t>
      </w:r>
    </w:p>
    <w:p w:rsidR="006A5F02" w:rsidRPr="00B231BF" w:rsidRDefault="00C43CAB" w:rsidP="001504BF">
      <w:pPr>
        <w:spacing w:after="0"/>
        <w:jc w:val="both"/>
        <w:rPr>
          <w:noProof/>
          <w:sz w:val="18"/>
          <w:szCs w:val="18"/>
        </w:rPr>
      </w:pPr>
      <w:r>
        <w:rPr>
          <w:noProof/>
          <w:sz w:val="18"/>
          <w:szCs w:val="18"/>
        </w:rPr>
        <w:t>This decision will particularly affect single adult males in good health, whom the Tribunal specifically identified as not being at general risk. Whilst factors such as age, education, health (physical and mental) and the level of support available will all still be relevant, the starting point is that relocation to Kabul will not in general be unreasonable or unduly harsh.</w:t>
      </w:r>
    </w:p>
    <w:p w:rsidR="00B76528" w:rsidRDefault="00B76528" w:rsidP="00B231BF">
      <w:pPr>
        <w:rPr>
          <w:b/>
          <w:noProof/>
          <w:color w:val="8D298F"/>
          <w:sz w:val="18"/>
          <w:szCs w:val="18"/>
        </w:rPr>
      </w:pPr>
      <w:r>
        <w:rPr>
          <w:noProof/>
          <w:sz w:val="18"/>
          <w:szCs w:val="18"/>
          <w:lang w:eastAsia="en-US"/>
        </w:rPr>
        <mc:AlternateContent>
          <mc:Choice Requires="wps">
            <w:drawing>
              <wp:anchor distT="0" distB="0" distL="114300" distR="114300" simplePos="0" relativeHeight="251671552" behindDoc="0" locked="0" layoutInCell="1" allowOverlap="1" wp14:anchorId="2563F149" wp14:editId="062C40CF">
                <wp:simplePos x="0" y="0"/>
                <wp:positionH relativeFrom="margin">
                  <wp:align>right</wp:align>
                </wp:positionH>
                <wp:positionV relativeFrom="paragraph">
                  <wp:posOffset>121920</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65589" id="Straight Connector 13"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8pt,9.6pt" to="102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" strokecolor="#e76a1d [3204]" strokeweight="1.5pt">
                <v:stroke joinstyle="miter"/>
                <w10:wrap anchorx="margin"/>
              </v:line>
            </w:pict>
          </mc:Fallback>
        </mc:AlternateContent>
      </w:r>
    </w:p>
    <w:p w:rsidR="00B231BF" w:rsidRPr="006764DF" w:rsidRDefault="00B231BF" w:rsidP="00453063">
      <w:pPr>
        <w:spacing w:after="0"/>
        <w:rPr>
          <w:b/>
          <w:noProof/>
          <w:color w:val="8D298F"/>
        </w:rPr>
      </w:pPr>
      <w:r w:rsidRPr="006764DF">
        <w:rPr>
          <w:b/>
          <w:noProof/>
          <w:color w:val="8D298F"/>
        </w:rPr>
        <w:t xml:space="preserve">FTT’s </w:t>
      </w:r>
      <w:r w:rsidR="00733AB6" w:rsidRPr="006764DF">
        <w:rPr>
          <w:b/>
          <w:noProof/>
          <w:color w:val="8D298F"/>
        </w:rPr>
        <w:t xml:space="preserve">limited </w:t>
      </w:r>
      <w:r w:rsidRPr="006764DF">
        <w:rPr>
          <w:b/>
          <w:noProof/>
          <w:color w:val="8D298F"/>
        </w:rPr>
        <w:t xml:space="preserve">jurisdiction in </w:t>
      </w:r>
      <w:r w:rsidR="00733AB6" w:rsidRPr="006764DF">
        <w:rPr>
          <w:b/>
          <w:noProof/>
          <w:color w:val="8D298F"/>
        </w:rPr>
        <w:t>statutory</w:t>
      </w:r>
      <w:r w:rsidRPr="006764DF">
        <w:rPr>
          <w:b/>
          <w:noProof/>
          <w:color w:val="8D298F"/>
        </w:rPr>
        <w:t xml:space="preserve"> appeals</w:t>
      </w:r>
    </w:p>
    <w:p w:rsidR="00B231BF" w:rsidRDefault="00B231BF" w:rsidP="0076320A">
      <w:pPr>
        <w:jc w:val="both"/>
        <w:rPr>
          <w:noProof/>
          <w:sz w:val="18"/>
          <w:szCs w:val="18"/>
        </w:rPr>
      </w:pPr>
      <w:r w:rsidRPr="00B231BF">
        <w:rPr>
          <w:noProof/>
          <w:sz w:val="18"/>
          <w:szCs w:val="18"/>
        </w:rPr>
        <w:t xml:space="preserve">In </w:t>
      </w:r>
      <w:hyperlink r:id="rId21" w:history="1">
        <w:r w:rsidRPr="00B13EDF">
          <w:rPr>
            <w:rStyle w:val="Hyperlink"/>
            <w:noProof/>
            <w:sz w:val="18"/>
            <w:szCs w:val="18"/>
          </w:rPr>
          <w:t>Charles (human rights appeal: scope) [2018] UKUT 00089 (IAC)</w:t>
        </w:r>
      </w:hyperlink>
      <w:r w:rsidRPr="00B231BF">
        <w:rPr>
          <w:noProof/>
          <w:sz w:val="18"/>
          <w:szCs w:val="18"/>
        </w:rPr>
        <w:t>, the UT</w:t>
      </w:r>
      <w:r w:rsidR="00B13EDF">
        <w:rPr>
          <w:noProof/>
          <w:sz w:val="18"/>
          <w:szCs w:val="18"/>
        </w:rPr>
        <w:t xml:space="preserve"> confirmed that a human rights appeal can be determined </w:t>
      </w:r>
      <w:r w:rsidR="00B13EDF" w:rsidRPr="00B13EDF">
        <w:rPr>
          <w:b/>
          <w:noProof/>
          <w:sz w:val="18"/>
          <w:szCs w:val="18"/>
          <w:u w:val="single"/>
        </w:rPr>
        <w:t>only</w:t>
      </w:r>
      <w:r w:rsidR="00B13EDF">
        <w:rPr>
          <w:noProof/>
          <w:sz w:val="18"/>
          <w:szCs w:val="18"/>
        </w:rPr>
        <w:t xml:space="preserve"> through the prism of the ECHR. This decision spells the end to the jurisdiction recognised in </w:t>
      </w:r>
      <w:r w:rsidR="00B13EDF" w:rsidRPr="00B13EDF">
        <w:rPr>
          <w:i/>
          <w:noProof/>
          <w:sz w:val="18"/>
          <w:szCs w:val="18"/>
        </w:rPr>
        <w:t>Greenwood No. 2</w:t>
      </w:r>
      <w:r w:rsidR="00B13EDF">
        <w:rPr>
          <w:noProof/>
          <w:sz w:val="18"/>
          <w:szCs w:val="18"/>
        </w:rPr>
        <w:t xml:space="preserve"> to allow an appeal on the ground that it is not in accordance with the law (where, for example, the SSHD has wrongly applied the Immigration Rules).</w:t>
      </w:r>
    </w:p>
    <w:p w:rsidR="00B13EDF" w:rsidRDefault="00B13EDF" w:rsidP="0076320A">
      <w:pPr>
        <w:jc w:val="both"/>
        <w:rPr>
          <w:noProof/>
          <w:sz w:val="18"/>
          <w:szCs w:val="18"/>
        </w:rPr>
      </w:pPr>
      <w:r>
        <w:rPr>
          <w:noProof/>
          <w:sz w:val="18"/>
          <w:szCs w:val="18"/>
        </w:rPr>
        <w:t xml:space="preserve">Whilst an assessment under the Rules will still be highly relevant </w:t>
      </w:r>
      <w:r w:rsidR="00C43CDC">
        <w:rPr>
          <w:noProof/>
          <w:sz w:val="18"/>
          <w:szCs w:val="18"/>
        </w:rPr>
        <w:t xml:space="preserve">under </w:t>
      </w:r>
      <w:r>
        <w:rPr>
          <w:noProof/>
          <w:sz w:val="18"/>
          <w:szCs w:val="18"/>
        </w:rPr>
        <w:t xml:space="preserve">article 8, and the jurisdiction is wide enough to incorporate any previous errors by the SSHD into the human rights matrix, </w:t>
      </w:r>
      <w:r w:rsidR="00C43CDC">
        <w:rPr>
          <w:noProof/>
          <w:sz w:val="18"/>
          <w:szCs w:val="18"/>
        </w:rPr>
        <w:t>issue</w:t>
      </w:r>
      <w:r w:rsidR="000F187E">
        <w:rPr>
          <w:noProof/>
          <w:sz w:val="18"/>
          <w:szCs w:val="18"/>
        </w:rPr>
        <w:t xml:space="preserve">s </w:t>
      </w:r>
      <w:r w:rsidR="00C43CDC">
        <w:rPr>
          <w:noProof/>
          <w:sz w:val="18"/>
          <w:szCs w:val="18"/>
        </w:rPr>
        <w:t>may</w:t>
      </w:r>
      <w:r w:rsidR="000F187E">
        <w:rPr>
          <w:noProof/>
          <w:sz w:val="18"/>
          <w:szCs w:val="18"/>
        </w:rPr>
        <w:t xml:space="preserve"> arise in cases where there has been a refusal of ILR</w:t>
      </w:r>
      <w:r w:rsidR="00C43CDC">
        <w:rPr>
          <w:noProof/>
          <w:sz w:val="18"/>
          <w:szCs w:val="18"/>
        </w:rPr>
        <w:t xml:space="preserve"> in another category of the Rules</w:t>
      </w:r>
      <w:r w:rsidR="000F187E">
        <w:rPr>
          <w:noProof/>
          <w:sz w:val="18"/>
          <w:szCs w:val="18"/>
        </w:rPr>
        <w:t xml:space="preserve">. In such cases, the </w:t>
      </w:r>
      <w:r w:rsidR="00C43CDC">
        <w:rPr>
          <w:noProof/>
          <w:sz w:val="18"/>
          <w:szCs w:val="18"/>
        </w:rPr>
        <w:t>FTT can no longer direct that the decision be reconsidered outside the confines of human rights. E</w:t>
      </w:r>
      <w:r w:rsidR="00733AB6">
        <w:rPr>
          <w:noProof/>
          <w:sz w:val="18"/>
          <w:szCs w:val="18"/>
        </w:rPr>
        <w:t>ven if allowed under article 8</w:t>
      </w:r>
      <w:r w:rsidR="00C43CDC">
        <w:rPr>
          <w:noProof/>
          <w:sz w:val="18"/>
          <w:szCs w:val="18"/>
        </w:rPr>
        <w:t xml:space="preserve">, it </w:t>
      </w:r>
      <w:r w:rsidR="00733AB6">
        <w:rPr>
          <w:noProof/>
          <w:sz w:val="18"/>
          <w:szCs w:val="18"/>
        </w:rPr>
        <w:t>is</w:t>
      </w:r>
      <w:r w:rsidR="00C43CDC">
        <w:rPr>
          <w:noProof/>
          <w:sz w:val="18"/>
          <w:szCs w:val="18"/>
        </w:rPr>
        <w:t xml:space="preserve"> open to the Home Office</w:t>
      </w:r>
      <w:r w:rsidR="00733AB6">
        <w:rPr>
          <w:noProof/>
          <w:sz w:val="18"/>
          <w:szCs w:val="18"/>
        </w:rPr>
        <w:t xml:space="preserve"> then</w:t>
      </w:r>
      <w:r w:rsidR="00C43CDC">
        <w:rPr>
          <w:noProof/>
          <w:sz w:val="18"/>
          <w:szCs w:val="18"/>
        </w:rPr>
        <w:t xml:space="preserve"> simply to grant limited leave </w:t>
      </w:r>
      <w:r w:rsidR="00733AB6">
        <w:rPr>
          <w:noProof/>
          <w:sz w:val="18"/>
          <w:szCs w:val="18"/>
        </w:rPr>
        <w:t>as in</w:t>
      </w:r>
      <w:r w:rsidR="00C43CDC">
        <w:rPr>
          <w:noProof/>
          <w:sz w:val="18"/>
          <w:szCs w:val="18"/>
        </w:rPr>
        <w:t xml:space="preserve"> an</w:t>
      </w:r>
      <w:r w:rsidR="00733AB6">
        <w:rPr>
          <w:noProof/>
          <w:sz w:val="18"/>
          <w:szCs w:val="18"/>
        </w:rPr>
        <w:t>y other</w:t>
      </w:r>
      <w:r w:rsidR="00C43CDC">
        <w:rPr>
          <w:noProof/>
          <w:sz w:val="18"/>
          <w:szCs w:val="18"/>
        </w:rPr>
        <w:t xml:space="preserve"> all</w:t>
      </w:r>
      <w:r w:rsidR="00733AB6">
        <w:rPr>
          <w:noProof/>
          <w:sz w:val="18"/>
          <w:szCs w:val="18"/>
        </w:rPr>
        <w:t>owed</w:t>
      </w:r>
      <w:r w:rsidR="00C43CDC">
        <w:rPr>
          <w:noProof/>
          <w:sz w:val="18"/>
          <w:szCs w:val="18"/>
        </w:rPr>
        <w:t xml:space="preserve"> appeal.</w:t>
      </w:r>
    </w:p>
    <w:p w:rsidR="00733AB6" w:rsidRDefault="00C43CDC" w:rsidP="0076320A">
      <w:pPr>
        <w:spacing w:after="0"/>
        <w:jc w:val="both"/>
        <w:rPr>
          <w:noProof/>
          <w:sz w:val="18"/>
          <w:szCs w:val="18"/>
        </w:rPr>
      </w:pPr>
      <w:r>
        <w:rPr>
          <w:noProof/>
          <w:sz w:val="18"/>
          <w:szCs w:val="18"/>
        </w:rPr>
        <w:t xml:space="preserve">This is another reminder of the limited scope of the </w:t>
      </w:r>
      <w:r w:rsidR="00733AB6">
        <w:rPr>
          <w:noProof/>
          <w:sz w:val="18"/>
          <w:szCs w:val="18"/>
        </w:rPr>
        <w:t>current</w:t>
      </w:r>
      <w:r>
        <w:rPr>
          <w:noProof/>
          <w:sz w:val="18"/>
          <w:szCs w:val="18"/>
        </w:rPr>
        <w:t xml:space="preserve"> appeals regime</w:t>
      </w:r>
      <w:r w:rsidR="00733AB6">
        <w:rPr>
          <w:noProof/>
          <w:sz w:val="18"/>
          <w:szCs w:val="18"/>
        </w:rPr>
        <w:t xml:space="preserve"> in Part 5 NIAA 2002</w:t>
      </w:r>
      <w:r>
        <w:rPr>
          <w:noProof/>
          <w:sz w:val="18"/>
          <w:szCs w:val="18"/>
        </w:rPr>
        <w:t xml:space="preserve">, leaving </w:t>
      </w:r>
      <w:r w:rsidR="00733AB6">
        <w:rPr>
          <w:noProof/>
          <w:sz w:val="18"/>
          <w:szCs w:val="18"/>
        </w:rPr>
        <w:t>judicial review</w:t>
      </w:r>
      <w:r>
        <w:rPr>
          <w:noProof/>
          <w:sz w:val="18"/>
          <w:szCs w:val="18"/>
        </w:rPr>
        <w:t xml:space="preserve"> as the only remedy </w:t>
      </w:r>
      <w:r w:rsidR="00733AB6">
        <w:rPr>
          <w:noProof/>
          <w:sz w:val="18"/>
          <w:szCs w:val="18"/>
        </w:rPr>
        <w:t>following a bad decision under the PBS or other categories of the Rules.</w:t>
      </w:r>
    </w:p>
    <w:p w:rsidR="00B76528" w:rsidRPr="00B231BF" w:rsidRDefault="00B13EDF" w:rsidP="00B231BF">
      <w:pPr>
        <w:rPr>
          <w:noProof/>
          <w:sz w:val="18"/>
          <w:szCs w:val="18"/>
        </w:rPr>
      </w:pPr>
      <w:r>
        <w:rPr>
          <w:noProof/>
          <w:sz w:val="18"/>
          <w:szCs w:val="18"/>
          <w:lang w:eastAsia="en-US"/>
        </w:rPr>
        <mc:AlternateContent>
          <mc:Choice Requires="wps">
            <w:drawing>
              <wp:anchor distT="0" distB="0" distL="114300" distR="114300" simplePos="0" relativeHeight="251673600" behindDoc="0" locked="0" layoutInCell="1" allowOverlap="1" wp14:anchorId="2563F149" wp14:editId="062C40CF">
                <wp:simplePos x="0" y="0"/>
                <wp:positionH relativeFrom="margin">
                  <wp:align>right</wp:align>
                </wp:positionH>
                <wp:positionV relativeFrom="paragraph">
                  <wp:posOffset>107950</wp:posOffset>
                </wp:positionV>
                <wp:extent cx="68389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83895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7F90F" id="Straight Connector 14"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8.5pt" to="1025.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" strokecolor="#e76a1d [3204]" strokeweight="1.5pt">
                <v:stroke joinstyle="miter"/>
                <w10:wrap anchorx="margin"/>
              </v:line>
            </w:pict>
          </mc:Fallback>
        </mc:AlternateContent>
      </w:r>
    </w:p>
    <w:p w:rsidR="00B231BF" w:rsidRPr="006764DF" w:rsidRDefault="006453EF" w:rsidP="00453063">
      <w:pPr>
        <w:spacing w:after="0"/>
        <w:rPr>
          <w:b/>
          <w:noProof/>
          <w:color w:val="8D298F"/>
        </w:rPr>
      </w:pPr>
      <w:r>
        <w:rPr>
          <w:b/>
          <w:noProof/>
          <w:color w:val="8D298F"/>
        </w:rPr>
        <w:t>“</w:t>
      </w:r>
      <w:r w:rsidR="00B231BF" w:rsidRPr="006764DF">
        <w:rPr>
          <w:b/>
          <w:noProof/>
          <w:color w:val="8D298F"/>
        </w:rPr>
        <w:t>New matters</w:t>
      </w:r>
      <w:r>
        <w:rPr>
          <w:b/>
          <w:noProof/>
          <w:color w:val="8D298F"/>
        </w:rPr>
        <w:t>”</w:t>
      </w:r>
      <w:r w:rsidR="00B231BF" w:rsidRPr="006764DF">
        <w:rPr>
          <w:b/>
          <w:noProof/>
          <w:color w:val="8D298F"/>
        </w:rPr>
        <w:t xml:space="preserve">: </w:t>
      </w:r>
      <w:r w:rsidR="00B231BF" w:rsidRPr="006453EF">
        <w:rPr>
          <w:b/>
          <w:i/>
          <w:noProof/>
          <w:color w:val="8D298F"/>
        </w:rPr>
        <w:t>Mahmud</w:t>
      </w:r>
      <w:r w:rsidR="00B231BF" w:rsidRPr="006764DF">
        <w:rPr>
          <w:b/>
          <w:noProof/>
          <w:color w:val="8D298F"/>
        </w:rPr>
        <w:t xml:space="preserve"> confirmed</w:t>
      </w:r>
    </w:p>
    <w:p w:rsidR="00B231BF" w:rsidRPr="00B231BF" w:rsidRDefault="00B231BF" w:rsidP="0076320A">
      <w:pPr>
        <w:jc w:val="both"/>
        <w:rPr>
          <w:noProof/>
          <w:sz w:val="18"/>
          <w:szCs w:val="18"/>
        </w:rPr>
      </w:pPr>
      <w:r w:rsidRPr="00B231BF">
        <w:rPr>
          <w:noProof/>
          <w:sz w:val="18"/>
          <w:szCs w:val="18"/>
        </w:rPr>
        <w:t xml:space="preserve">In </w:t>
      </w:r>
      <w:hyperlink r:id="rId22" w:history="1">
        <w:r w:rsidRPr="00A05F2D">
          <w:rPr>
            <w:rStyle w:val="Hyperlink"/>
            <w:noProof/>
            <w:sz w:val="18"/>
            <w:szCs w:val="18"/>
          </w:rPr>
          <w:t>Quaidoo (new matter: procedure/process) [2018] UKUT 87</w:t>
        </w:r>
      </w:hyperlink>
      <w:r w:rsidRPr="00B231BF">
        <w:rPr>
          <w:noProof/>
          <w:sz w:val="18"/>
          <w:szCs w:val="18"/>
        </w:rPr>
        <w:t xml:space="preserve">, the UT has approved and applied the unhelpful decision of </w:t>
      </w:r>
      <w:r w:rsidRPr="000F2C5E">
        <w:rPr>
          <w:i/>
          <w:noProof/>
          <w:sz w:val="18"/>
          <w:szCs w:val="18"/>
        </w:rPr>
        <w:t>Mahmud</w:t>
      </w:r>
      <w:r w:rsidRPr="00B231BF">
        <w:rPr>
          <w:noProof/>
          <w:sz w:val="18"/>
          <w:szCs w:val="18"/>
        </w:rPr>
        <w:t xml:space="preserve"> in relation to what constitutes “a new matter” requiring the consent of the SSHD to raise in an appeal brought under the NIAA 2002. </w:t>
      </w:r>
    </w:p>
    <w:p w:rsidR="00B231BF" w:rsidRDefault="00B231BF" w:rsidP="0076320A">
      <w:pPr>
        <w:spacing w:after="0"/>
        <w:jc w:val="both"/>
        <w:rPr>
          <w:noProof/>
          <w:sz w:val="18"/>
          <w:szCs w:val="18"/>
        </w:rPr>
      </w:pPr>
      <w:r w:rsidRPr="00B231BF">
        <w:rPr>
          <w:noProof/>
          <w:sz w:val="18"/>
          <w:szCs w:val="18"/>
        </w:rPr>
        <w:t>It remains the case therefore that any new “factual matrix” not previously considered, invariably includ</w:t>
      </w:r>
      <w:r w:rsidR="006453EF">
        <w:rPr>
          <w:noProof/>
          <w:sz w:val="18"/>
          <w:szCs w:val="18"/>
        </w:rPr>
        <w:t>ing</w:t>
      </w:r>
      <w:r w:rsidRPr="00B231BF">
        <w:rPr>
          <w:noProof/>
          <w:sz w:val="18"/>
          <w:szCs w:val="18"/>
        </w:rPr>
        <w:t xml:space="preserve"> the birth of a child, will be </w:t>
      </w:r>
      <w:r w:rsidR="00A05F2D">
        <w:rPr>
          <w:noProof/>
          <w:sz w:val="18"/>
          <w:szCs w:val="18"/>
        </w:rPr>
        <w:t>a “</w:t>
      </w:r>
      <w:r w:rsidRPr="00B231BF">
        <w:rPr>
          <w:noProof/>
          <w:sz w:val="18"/>
          <w:szCs w:val="18"/>
        </w:rPr>
        <w:t>new matter”, even where this could easily have been anticipated. Any</w:t>
      </w:r>
      <w:r w:rsidR="006453EF">
        <w:rPr>
          <w:noProof/>
          <w:sz w:val="18"/>
          <w:szCs w:val="18"/>
        </w:rPr>
        <w:t>one</w:t>
      </w:r>
      <w:r w:rsidRPr="00B231BF">
        <w:rPr>
          <w:noProof/>
          <w:sz w:val="18"/>
          <w:szCs w:val="18"/>
        </w:rPr>
        <w:t xml:space="preserve"> aggrieved by a </w:t>
      </w:r>
      <w:r w:rsidR="006453EF">
        <w:rPr>
          <w:noProof/>
          <w:sz w:val="18"/>
          <w:szCs w:val="18"/>
        </w:rPr>
        <w:t>refusal</w:t>
      </w:r>
      <w:r w:rsidRPr="00B231BF">
        <w:rPr>
          <w:noProof/>
          <w:sz w:val="18"/>
          <w:szCs w:val="18"/>
        </w:rPr>
        <w:t xml:space="preserve"> to consent only has a remedy in </w:t>
      </w:r>
      <w:r w:rsidR="006453EF">
        <w:rPr>
          <w:noProof/>
          <w:sz w:val="18"/>
          <w:szCs w:val="18"/>
        </w:rPr>
        <w:t>JR</w:t>
      </w:r>
      <w:r w:rsidRPr="00B231BF">
        <w:rPr>
          <w:noProof/>
          <w:sz w:val="18"/>
          <w:szCs w:val="18"/>
        </w:rPr>
        <w:t>.</w:t>
      </w:r>
    </w:p>
    <w:p w:rsidR="00B76528" w:rsidRDefault="00976EAD" w:rsidP="00B231BF">
      <w:pPr>
        <w:rPr>
          <w:noProof/>
          <w:sz w:val="18"/>
          <w:szCs w:val="18"/>
        </w:rPr>
      </w:pPr>
      <w:r>
        <w:rPr>
          <w:noProof/>
          <w:sz w:val="18"/>
          <w:szCs w:val="18"/>
          <w:lang w:eastAsia="en-US"/>
        </w:rPr>
        <mc:AlternateContent>
          <mc:Choice Requires="wps">
            <w:drawing>
              <wp:anchor distT="0" distB="0" distL="114300" distR="114300" simplePos="0" relativeHeight="251675648" behindDoc="0" locked="0" layoutInCell="1" allowOverlap="1" wp14:anchorId="2563F149" wp14:editId="062C40CF">
                <wp:simplePos x="0" y="0"/>
                <wp:positionH relativeFrom="margin">
                  <wp:align>left</wp:align>
                </wp:positionH>
                <wp:positionV relativeFrom="paragraph">
                  <wp:posOffset>123825</wp:posOffset>
                </wp:positionV>
                <wp:extent cx="68389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3BC3FE" id="Straight Connector 1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53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" strokecolor="#e76a1d [3204]" strokeweight="1.5pt">
                <v:stroke joinstyle="miter"/>
                <w10:wrap anchorx="margin"/>
              </v:line>
            </w:pict>
          </mc:Fallback>
        </mc:AlternateContent>
      </w:r>
    </w:p>
    <w:p w:rsidR="00B231BF" w:rsidRPr="006764DF" w:rsidRDefault="00B231BF" w:rsidP="00453063">
      <w:pPr>
        <w:spacing w:after="0"/>
        <w:rPr>
          <w:b/>
          <w:noProof/>
          <w:color w:val="8D298F"/>
        </w:rPr>
      </w:pPr>
      <w:r w:rsidRPr="006764DF">
        <w:rPr>
          <w:b/>
          <w:noProof/>
          <w:color w:val="8D298F"/>
        </w:rPr>
        <w:t>High Court names and shames immigration lawyers</w:t>
      </w:r>
      <w:r w:rsidR="006453EF">
        <w:rPr>
          <w:b/>
          <w:noProof/>
          <w:color w:val="8D298F"/>
        </w:rPr>
        <w:t xml:space="preserve"> for spurious injunction applications</w:t>
      </w:r>
    </w:p>
    <w:p w:rsidR="00B231BF" w:rsidRDefault="00736765" w:rsidP="0076320A">
      <w:pPr>
        <w:spacing w:after="0"/>
        <w:jc w:val="both"/>
        <w:rPr>
          <w:noProof/>
          <w:sz w:val="18"/>
          <w:szCs w:val="18"/>
        </w:rPr>
      </w:pPr>
      <w:r>
        <w:rPr>
          <w:noProof/>
          <w:sz w:val="18"/>
          <w:szCs w:val="18"/>
        </w:rPr>
        <w:t>In a</w:t>
      </w:r>
      <w:r w:rsidR="00B76528">
        <w:rPr>
          <w:noProof/>
          <w:sz w:val="18"/>
          <w:szCs w:val="18"/>
        </w:rPr>
        <w:t xml:space="preserve">nother damning </w:t>
      </w:r>
      <w:hyperlink r:id="rId23" w:history="1">
        <w:r w:rsidR="00B76528" w:rsidRPr="00655D5F">
          <w:rPr>
            <w:rStyle w:val="Hyperlink"/>
            <w:noProof/>
            <w:sz w:val="18"/>
            <w:szCs w:val="18"/>
          </w:rPr>
          <w:t>judgment</w:t>
        </w:r>
      </w:hyperlink>
      <w:r w:rsidR="00B76528">
        <w:rPr>
          <w:noProof/>
          <w:sz w:val="18"/>
          <w:szCs w:val="18"/>
        </w:rPr>
        <w:t>, a number of solicitors</w:t>
      </w:r>
      <w:r w:rsidR="00655D5F">
        <w:rPr>
          <w:noProof/>
          <w:sz w:val="18"/>
          <w:szCs w:val="18"/>
        </w:rPr>
        <w:t xml:space="preserve"> have been referred</w:t>
      </w:r>
      <w:r w:rsidR="00B76528">
        <w:rPr>
          <w:noProof/>
          <w:sz w:val="18"/>
          <w:szCs w:val="18"/>
        </w:rPr>
        <w:t xml:space="preserve"> to the SRA a</w:t>
      </w:r>
      <w:r w:rsidR="00655D5F">
        <w:rPr>
          <w:noProof/>
          <w:sz w:val="18"/>
          <w:szCs w:val="18"/>
        </w:rPr>
        <w:t>midst</w:t>
      </w:r>
      <w:r w:rsidR="00B76528">
        <w:rPr>
          <w:noProof/>
          <w:sz w:val="18"/>
          <w:szCs w:val="18"/>
        </w:rPr>
        <w:t xml:space="preserve"> highly critical </w:t>
      </w:r>
      <w:r w:rsidR="00655D5F">
        <w:rPr>
          <w:noProof/>
          <w:sz w:val="18"/>
          <w:szCs w:val="18"/>
        </w:rPr>
        <w:t>remarks about</w:t>
      </w:r>
      <w:r w:rsidR="00B76528">
        <w:rPr>
          <w:noProof/>
          <w:sz w:val="18"/>
          <w:szCs w:val="18"/>
        </w:rPr>
        <w:t xml:space="preserve"> practitioners in the field of immigration and asylum law.</w:t>
      </w:r>
      <w:r w:rsidR="00453063">
        <w:rPr>
          <w:noProof/>
          <w:sz w:val="18"/>
          <w:szCs w:val="18"/>
        </w:rPr>
        <w:t xml:space="preserve"> The latest in </w:t>
      </w:r>
      <w:r w:rsidR="00655D5F">
        <w:rPr>
          <w:noProof/>
          <w:sz w:val="18"/>
          <w:szCs w:val="18"/>
        </w:rPr>
        <w:t xml:space="preserve">the </w:t>
      </w:r>
      <w:r w:rsidR="00655D5F" w:rsidRPr="00655D5F">
        <w:rPr>
          <w:i/>
          <w:noProof/>
          <w:sz w:val="18"/>
          <w:szCs w:val="18"/>
        </w:rPr>
        <w:t>Hamid</w:t>
      </w:r>
      <w:r w:rsidR="00655D5F">
        <w:rPr>
          <w:noProof/>
          <w:sz w:val="18"/>
          <w:szCs w:val="18"/>
        </w:rPr>
        <w:t xml:space="preserve"> line of </w:t>
      </w:r>
      <w:r w:rsidR="006A5F02">
        <w:rPr>
          <w:noProof/>
          <w:sz w:val="18"/>
          <w:szCs w:val="18"/>
        </w:rPr>
        <w:t>cases, the</w:t>
      </w:r>
      <w:r w:rsidR="00453063">
        <w:rPr>
          <w:noProof/>
          <w:sz w:val="18"/>
          <w:szCs w:val="18"/>
        </w:rPr>
        <w:t xml:space="preserve"> Courts are taking a hard line on the</w:t>
      </w:r>
      <w:r w:rsidR="006A5F02">
        <w:rPr>
          <w:noProof/>
          <w:sz w:val="18"/>
          <w:szCs w:val="18"/>
        </w:rPr>
        <w:t xml:space="preserve"> practice of issuing last-minute claims designed to frustrate removal </w:t>
      </w:r>
      <w:r w:rsidR="00453063">
        <w:rPr>
          <w:noProof/>
          <w:sz w:val="18"/>
          <w:szCs w:val="18"/>
        </w:rPr>
        <w:t xml:space="preserve">which are later found to be without merit. Given the risks, those thinking about making such claims are strongly </w:t>
      </w:r>
      <w:r w:rsidR="006764DF">
        <w:rPr>
          <w:noProof/>
          <w:sz w:val="18"/>
          <w:szCs w:val="18"/>
        </w:rPr>
        <w:t>urg</w:t>
      </w:r>
      <w:r w:rsidR="00453063">
        <w:rPr>
          <w:noProof/>
          <w:sz w:val="18"/>
          <w:szCs w:val="18"/>
        </w:rPr>
        <w:t xml:space="preserve">ed to </w:t>
      </w:r>
      <w:r w:rsidR="006764DF">
        <w:rPr>
          <w:noProof/>
          <w:sz w:val="18"/>
          <w:szCs w:val="18"/>
        </w:rPr>
        <w:t xml:space="preserve">give realistic advice to clients </w:t>
      </w:r>
      <w:r w:rsidR="00453063">
        <w:rPr>
          <w:noProof/>
          <w:sz w:val="18"/>
          <w:szCs w:val="18"/>
        </w:rPr>
        <w:t xml:space="preserve">and to seek the </w:t>
      </w:r>
      <w:r w:rsidR="006764DF">
        <w:rPr>
          <w:noProof/>
          <w:sz w:val="18"/>
          <w:szCs w:val="18"/>
        </w:rPr>
        <w:t>opinion</w:t>
      </w:r>
      <w:r w:rsidR="00453063">
        <w:rPr>
          <w:noProof/>
          <w:sz w:val="18"/>
          <w:szCs w:val="18"/>
        </w:rPr>
        <w:t xml:space="preserve"> of Counsel prior to </w:t>
      </w:r>
      <w:r w:rsidR="006764DF">
        <w:rPr>
          <w:noProof/>
          <w:sz w:val="18"/>
          <w:szCs w:val="18"/>
        </w:rPr>
        <w:t>start</w:t>
      </w:r>
      <w:r w:rsidR="00453063">
        <w:rPr>
          <w:noProof/>
          <w:sz w:val="18"/>
          <w:szCs w:val="18"/>
        </w:rPr>
        <w:t>ing the process.</w:t>
      </w:r>
    </w:p>
    <w:p w:rsidR="00B76528" w:rsidRDefault="00B76528" w:rsidP="00B231BF">
      <w:pPr>
        <w:rPr>
          <w:noProof/>
          <w:sz w:val="18"/>
          <w:szCs w:val="18"/>
        </w:rPr>
      </w:pPr>
      <w:r>
        <w:rPr>
          <w:noProof/>
          <w:sz w:val="18"/>
          <w:szCs w:val="18"/>
          <w:lang w:eastAsia="en-US"/>
        </w:rPr>
        <mc:AlternateContent>
          <mc:Choice Requires="wps">
            <w:drawing>
              <wp:anchor distT="0" distB="0" distL="114300" distR="114300" simplePos="0" relativeHeight="251677696" behindDoc="0" locked="0" layoutInCell="1" allowOverlap="1" wp14:anchorId="2563F149" wp14:editId="062C40CF">
                <wp:simplePos x="0" y="0"/>
                <wp:positionH relativeFrom="margin">
                  <wp:align>right</wp:align>
                </wp:positionH>
                <wp:positionV relativeFrom="paragraph">
                  <wp:posOffset>90170</wp:posOffset>
                </wp:positionV>
                <wp:extent cx="68294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682942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0E885" id="Straight Connector 16"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7.1pt" to="1024.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" strokecolor="#e76a1d [3204]" strokeweight="1.5pt">
                <v:stroke joinstyle="miter"/>
                <w10:wrap anchorx="margin"/>
              </v:line>
            </w:pict>
          </mc:Fallback>
        </mc:AlternateContent>
      </w:r>
    </w:p>
    <w:p w:rsidR="00736765" w:rsidRPr="00736765" w:rsidRDefault="00736765" w:rsidP="00453063">
      <w:pPr>
        <w:spacing w:after="0"/>
        <w:rPr>
          <w:b/>
          <w:noProof/>
          <w:color w:val="8D298F"/>
          <w:sz w:val="18"/>
          <w:szCs w:val="18"/>
        </w:rPr>
      </w:pPr>
      <w:r w:rsidRPr="00736765">
        <w:rPr>
          <w:b/>
          <w:noProof/>
          <w:color w:val="8D298F"/>
          <w:sz w:val="18"/>
          <w:szCs w:val="18"/>
        </w:rPr>
        <w:t>SSHD</w:t>
      </w:r>
      <w:r w:rsidR="00B76528">
        <w:rPr>
          <w:b/>
          <w:noProof/>
          <w:color w:val="8D298F"/>
          <w:sz w:val="18"/>
          <w:szCs w:val="18"/>
        </w:rPr>
        <w:t xml:space="preserve"> </w:t>
      </w:r>
      <w:r w:rsidR="00B76528" w:rsidRPr="00736765">
        <w:rPr>
          <w:b/>
          <w:noProof/>
          <w:color w:val="8D298F"/>
          <w:sz w:val="18"/>
          <w:szCs w:val="18"/>
        </w:rPr>
        <w:t>criticised</w:t>
      </w:r>
      <w:r w:rsidR="00B76528">
        <w:rPr>
          <w:b/>
          <w:noProof/>
          <w:color w:val="8D298F"/>
          <w:sz w:val="18"/>
          <w:szCs w:val="18"/>
        </w:rPr>
        <w:t xml:space="preserve"> f</w:t>
      </w:r>
      <w:r w:rsidR="00655D5F">
        <w:rPr>
          <w:b/>
          <w:noProof/>
          <w:color w:val="8D298F"/>
          <w:sz w:val="18"/>
          <w:szCs w:val="18"/>
        </w:rPr>
        <w:t>ollowing</w:t>
      </w:r>
      <w:r w:rsidRPr="00736765">
        <w:rPr>
          <w:b/>
          <w:noProof/>
          <w:color w:val="8D298F"/>
          <w:sz w:val="18"/>
          <w:szCs w:val="18"/>
        </w:rPr>
        <w:t xml:space="preserve"> “appeal everything” </w:t>
      </w:r>
      <w:r w:rsidR="00B76528">
        <w:rPr>
          <w:b/>
          <w:noProof/>
          <w:color w:val="8D298F"/>
          <w:sz w:val="18"/>
          <w:szCs w:val="18"/>
        </w:rPr>
        <w:t>approach</w:t>
      </w:r>
      <w:r w:rsidRPr="00736765">
        <w:rPr>
          <w:b/>
          <w:noProof/>
          <w:color w:val="8D298F"/>
          <w:sz w:val="18"/>
          <w:szCs w:val="18"/>
        </w:rPr>
        <w:t xml:space="preserve"> in deport cases</w:t>
      </w:r>
    </w:p>
    <w:p w:rsidR="007852DA" w:rsidRDefault="00896C52" w:rsidP="0076320A">
      <w:pPr>
        <w:spacing w:after="0"/>
        <w:jc w:val="both"/>
        <w:rPr>
          <w:noProof/>
          <w:sz w:val="18"/>
          <w:szCs w:val="18"/>
        </w:rPr>
      </w:pPr>
      <w:r>
        <w:rPr>
          <w:noProof/>
          <w:sz w:val="18"/>
          <w:szCs w:val="18"/>
        </w:rPr>
        <w:lastRenderedPageBreak/>
        <w:t xml:space="preserve">The </w:t>
      </w:r>
      <w:hyperlink r:id="rId24" w:history="1">
        <w:r w:rsidRPr="00655D5F">
          <w:rPr>
            <w:rStyle w:val="Hyperlink"/>
            <w:noProof/>
            <w:sz w:val="18"/>
            <w:szCs w:val="18"/>
          </w:rPr>
          <w:t>Court of Appeal</w:t>
        </w:r>
      </w:hyperlink>
      <w:r>
        <w:rPr>
          <w:noProof/>
          <w:sz w:val="18"/>
          <w:szCs w:val="18"/>
        </w:rPr>
        <w:t xml:space="preserve"> has</w:t>
      </w:r>
      <w:r w:rsidR="00E1244B">
        <w:rPr>
          <w:noProof/>
          <w:sz w:val="18"/>
          <w:szCs w:val="18"/>
        </w:rPr>
        <w:t xml:space="preserve"> </w:t>
      </w:r>
      <w:r w:rsidR="006764DF">
        <w:rPr>
          <w:noProof/>
          <w:sz w:val="18"/>
          <w:szCs w:val="18"/>
        </w:rPr>
        <w:t>c</w:t>
      </w:r>
      <w:r w:rsidR="00004E98">
        <w:rPr>
          <w:noProof/>
          <w:sz w:val="18"/>
          <w:szCs w:val="18"/>
        </w:rPr>
        <w:t>ondemn</w:t>
      </w:r>
      <w:r w:rsidR="006764DF">
        <w:rPr>
          <w:noProof/>
          <w:sz w:val="18"/>
          <w:szCs w:val="18"/>
        </w:rPr>
        <w:t xml:space="preserve">ed the </w:t>
      </w:r>
      <w:r w:rsidR="00655D5F">
        <w:rPr>
          <w:noProof/>
          <w:sz w:val="18"/>
          <w:szCs w:val="18"/>
        </w:rPr>
        <w:t>SSHD for</w:t>
      </w:r>
      <w:r w:rsidR="00004E98">
        <w:rPr>
          <w:noProof/>
          <w:sz w:val="18"/>
          <w:szCs w:val="18"/>
        </w:rPr>
        <w:t xml:space="preserve"> her conduct in</w:t>
      </w:r>
      <w:r w:rsidR="00655D5F">
        <w:rPr>
          <w:noProof/>
          <w:sz w:val="18"/>
          <w:szCs w:val="18"/>
        </w:rPr>
        <w:t xml:space="preserve"> </w:t>
      </w:r>
      <w:r w:rsidR="00004E98">
        <w:rPr>
          <w:noProof/>
          <w:sz w:val="18"/>
          <w:szCs w:val="18"/>
        </w:rPr>
        <w:t>alleging</w:t>
      </w:r>
      <w:r w:rsidR="00E1244B">
        <w:rPr>
          <w:noProof/>
          <w:sz w:val="18"/>
          <w:szCs w:val="18"/>
        </w:rPr>
        <w:t xml:space="preserve"> systemic </w:t>
      </w:r>
      <w:r w:rsidR="00655D5F">
        <w:rPr>
          <w:noProof/>
          <w:sz w:val="18"/>
          <w:szCs w:val="18"/>
        </w:rPr>
        <w:t>failure</w:t>
      </w:r>
      <w:r w:rsidR="00004E98">
        <w:rPr>
          <w:noProof/>
          <w:sz w:val="18"/>
          <w:szCs w:val="18"/>
        </w:rPr>
        <w:t>s</w:t>
      </w:r>
      <w:r w:rsidR="00E1244B">
        <w:rPr>
          <w:noProof/>
          <w:sz w:val="18"/>
          <w:szCs w:val="18"/>
        </w:rPr>
        <w:t xml:space="preserve"> in</w:t>
      </w:r>
      <w:r w:rsidR="00004E98">
        <w:rPr>
          <w:noProof/>
          <w:sz w:val="18"/>
          <w:szCs w:val="18"/>
        </w:rPr>
        <w:t xml:space="preserve"> the</w:t>
      </w:r>
      <w:r w:rsidR="00E1244B">
        <w:rPr>
          <w:noProof/>
          <w:sz w:val="18"/>
          <w:szCs w:val="18"/>
        </w:rPr>
        <w:t xml:space="preserve"> approach </w:t>
      </w:r>
      <w:r w:rsidR="00004E98">
        <w:rPr>
          <w:noProof/>
          <w:sz w:val="18"/>
          <w:szCs w:val="18"/>
        </w:rPr>
        <w:t xml:space="preserve">of the UT </w:t>
      </w:r>
      <w:r w:rsidR="00E1244B">
        <w:rPr>
          <w:noProof/>
          <w:sz w:val="18"/>
          <w:szCs w:val="18"/>
        </w:rPr>
        <w:t>to deportation appeals,</w:t>
      </w:r>
      <w:r w:rsidR="00004E98">
        <w:rPr>
          <w:noProof/>
          <w:sz w:val="18"/>
          <w:szCs w:val="18"/>
        </w:rPr>
        <w:t xml:space="preserve"> before </w:t>
      </w:r>
      <w:r w:rsidR="002E6E02">
        <w:rPr>
          <w:noProof/>
          <w:sz w:val="18"/>
          <w:szCs w:val="18"/>
        </w:rPr>
        <w:t xml:space="preserve">subsequently </w:t>
      </w:r>
      <w:r w:rsidR="00E1244B">
        <w:rPr>
          <w:noProof/>
          <w:sz w:val="18"/>
          <w:szCs w:val="18"/>
        </w:rPr>
        <w:t>abandon</w:t>
      </w:r>
      <w:r w:rsidR="00004E98">
        <w:rPr>
          <w:noProof/>
          <w:sz w:val="18"/>
          <w:szCs w:val="18"/>
        </w:rPr>
        <w:t>ing the point</w:t>
      </w:r>
      <w:r w:rsidR="00E1244B">
        <w:rPr>
          <w:noProof/>
          <w:sz w:val="18"/>
          <w:szCs w:val="18"/>
        </w:rPr>
        <w:t xml:space="preserve"> at the appeal hearing. </w:t>
      </w:r>
      <w:r w:rsidR="00004E98">
        <w:rPr>
          <w:noProof/>
          <w:sz w:val="18"/>
          <w:szCs w:val="18"/>
        </w:rPr>
        <w:t>The Court went</w:t>
      </w:r>
      <w:r w:rsidR="002E6E02">
        <w:rPr>
          <w:noProof/>
          <w:sz w:val="18"/>
          <w:szCs w:val="18"/>
        </w:rPr>
        <w:t xml:space="preserve"> so far as to make</w:t>
      </w:r>
      <w:r w:rsidR="00E1244B">
        <w:rPr>
          <w:noProof/>
          <w:sz w:val="18"/>
          <w:szCs w:val="18"/>
        </w:rPr>
        <w:t xml:space="preserve"> an award for costs </w:t>
      </w:r>
      <w:r w:rsidR="00004E98">
        <w:rPr>
          <w:noProof/>
          <w:sz w:val="18"/>
          <w:szCs w:val="18"/>
        </w:rPr>
        <w:t xml:space="preserve">to the claimant </w:t>
      </w:r>
      <w:r w:rsidR="00E1244B">
        <w:rPr>
          <w:noProof/>
          <w:sz w:val="18"/>
          <w:szCs w:val="18"/>
        </w:rPr>
        <w:t xml:space="preserve">on </w:t>
      </w:r>
      <w:r w:rsidR="002E6E02">
        <w:rPr>
          <w:noProof/>
          <w:sz w:val="18"/>
          <w:szCs w:val="18"/>
        </w:rPr>
        <w:t>an</w:t>
      </w:r>
      <w:r w:rsidR="00E1244B">
        <w:rPr>
          <w:noProof/>
          <w:sz w:val="18"/>
          <w:szCs w:val="18"/>
        </w:rPr>
        <w:t xml:space="preserve"> indemnity basis</w:t>
      </w:r>
      <w:r w:rsidR="002E6E02">
        <w:rPr>
          <w:noProof/>
          <w:sz w:val="18"/>
          <w:szCs w:val="18"/>
        </w:rPr>
        <w:t xml:space="preserve">, </w:t>
      </w:r>
      <w:r w:rsidR="00004E98">
        <w:rPr>
          <w:noProof/>
          <w:sz w:val="18"/>
          <w:szCs w:val="18"/>
        </w:rPr>
        <w:t xml:space="preserve">Singh LJ describing the conduct as “unreasonable to a high degree”. Such comments will </w:t>
      </w:r>
      <w:r w:rsidR="000F2C5E">
        <w:rPr>
          <w:noProof/>
          <w:sz w:val="18"/>
          <w:szCs w:val="18"/>
        </w:rPr>
        <w:t xml:space="preserve">no doubt </w:t>
      </w:r>
      <w:r w:rsidR="00004E98">
        <w:rPr>
          <w:noProof/>
          <w:sz w:val="18"/>
          <w:szCs w:val="18"/>
        </w:rPr>
        <w:t>be refreshing to practitioners familiar with the Home Office’s blanket policy of contesting all deportation appeals, regardless of merit.</w:t>
      </w:r>
    </w:p>
    <w:p w:rsidR="00F371EA" w:rsidRPr="000F5745" w:rsidRDefault="00F371EA" w:rsidP="00B231BF">
      <w:pPr>
        <w:rPr>
          <w:noProof/>
          <w:sz w:val="18"/>
          <w:szCs w:val="18"/>
        </w:rPr>
      </w:pPr>
    </w:p>
    <w:sectPr w:rsidR="00F371EA" w:rsidRPr="000F5745" w:rsidSect="00295F98">
      <w:headerReference w:type="even" r:id="rId25"/>
      <w:headerReference w:type="default" r:id="rId26"/>
      <w:footerReference w:type="even" r:id="rId27"/>
      <w:footerReference w:type="default" r:id="rId28"/>
      <w:headerReference w:type="first" r:id="rId29"/>
      <w:footerReference w:type="first" r:id="rId30"/>
      <w:pgSz w:w="12240" w:h="15840"/>
      <w:pgMar w:top="792" w:right="720" w:bottom="720" w:left="720" w:header="720" w:footer="2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D3" w:rsidRDefault="00EF78D3">
      <w:pPr>
        <w:spacing w:after="0" w:line="240" w:lineRule="auto"/>
      </w:pPr>
      <w:r>
        <w:separator/>
      </w:r>
    </w:p>
  </w:endnote>
  <w:endnote w:type="continuationSeparator" w:id="0">
    <w:p w:rsidR="00EF78D3" w:rsidRDefault="00EF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4D7" w:rsidRDefault="00F87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2471"/>
      <w:tblLayout w:type="fixed"/>
      <w:tblLook w:val="04A0" w:firstRow="1" w:lastRow="0" w:firstColumn="1" w:lastColumn="0" w:noHBand="0" w:noVBand="1"/>
    </w:tblPr>
    <w:tblGrid>
      <w:gridCol w:w="851"/>
      <w:gridCol w:w="283"/>
      <w:gridCol w:w="9666"/>
    </w:tblGrid>
    <w:tr w:rsidR="0076320A" w:rsidTr="007060CF">
      <w:trPr>
        <w:trHeight w:val="80"/>
      </w:trPr>
      <w:tc>
        <w:tcPr>
          <w:tcW w:w="851" w:type="dxa"/>
          <w:shd w:val="clear" w:color="auto" w:fill="7E2471"/>
        </w:tcPr>
        <w:p w:rsidR="0076320A" w:rsidRPr="00A05F2D" w:rsidRDefault="0076320A" w:rsidP="00295F98">
          <w:pPr>
            <w:rPr>
              <w:b/>
              <w:noProof/>
              <w:sz w:val="18"/>
              <w:szCs w:val="18"/>
            </w:rPr>
          </w:pPr>
          <w:r>
            <w:rPr>
              <w:noProof/>
              <w:sz w:val="18"/>
              <w:szCs w:val="18"/>
              <w:lang w:eastAsia="en-US"/>
            </w:rPr>
            <w:drawing>
              <wp:inline distT="0" distB="0" distL="0" distR="0" wp14:anchorId="52E597E6" wp14:editId="4D0121D4">
                <wp:extent cx="492125" cy="437978"/>
                <wp:effectExtent l="0" t="0" r="3175"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amantha-Giffin-356x271 2.jpg"/>
                        <pic:cNvPicPr/>
                      </pic:nvPicPr>
                      <pic:blipFill>
                        <a:blip r:embed="rId1"/>
                        <a:stretch>
                          <a:fillRect/>
                        </a:stretch>
                      </pic:blipFill>
                      <pic:spPr>
                        <a:xfrm>
                          <a:off x="0" y="0"/>
                          <a:ext cx="613941" cy="546391"/>
                        </a:xfrm>
                        <a:prstGeom prst="rect">
                          <a:avLst/>
                        </a:prstGeom>
                      </pic:spPr>
                    </pic:pic>
                  </a:graphicData>
                </a:graphic>
              </wp:inline>
            </w:drawing>
          </w:r>
        </w:p>
      </w:tc>
      <w:tc>
        <w:tcPr>
          <w:tcW w:w="283" w:type="dxa"/>
          <w:shd w:val="clear" w:color="auto" w:fill="7E2471"/>
        </w:tcPr>
        <w:p w:rsidR="0076320A" w:rsidRDefault="0076320A" w:rsidP="00295F98">
          <w:pPr>
            <w:rPr>
              <w:rFonts w:ascii="Arial" w:hAnsi="Arial" w:cs="Arial"/>
              <w:noProof/>
              <w:color w:val="FFFFFF" w:themeColor="background1"/>
              <w:sz w:val="22"/>
              <w:szCs w:val="22"/>
            </w:rPr>
          </w:pPr>
        </w:p>
        <w:p w:rsidR="0076320A" w:rsidRPr="00AF6124" w:rsidRDefault="0076320A" w:rsidP="00295F98">
          <w:pPr>
            <w:rPr>
              <w:rFonts w:ascii="Arial" w:hAnsi="Arial" w:cs="Arial"/>
              <w:noProof/>
              <w:color w:val="FFFFFF" w:themeColor="background1"/>
              <w:sz w:val="22"/>
              <w:szCs w:val="22"/>
            </w:rPr>
          </w:pPr>
        </w:p>
      </w:tc>
      <w:tc>
        <w:tcPr>
          <w:tcW w:w="9666" w:type="dxa"/>
          <w:shd w:val="clear" w:color="auto" w:fill="7E2471"/>
        </w:tcPr>
        <w:p w:rsidR="0076320A" w:rsidRDefault="0076320A" w:rsidP="00D05B12">
          <w:pPr>
            <w:rPr>
              <w:rFonts w:ascii="Arial" w:hAnsi="Arial" w:cs="Arial"/>
              <w:noProof/>
              <w:color w:val="FFFFFF" w:themeColor="background1"/>
              <w:sz w:val="22"/>
              <w:szCs w:val="22"/>
            </w:rPr>
          </w:pPr>
        </w:p>
        <w:p w:rsidR="0076320A" w:rsidRPr="000A4438" w:rsidRDefault="0017381F" w:rsidP="00D05B12">
          <w:pPr>
            <w:rPr>
              <w:rFonts w:ascii="Arial" w:hAnsi="Arial" w:cs="Arial"/>
              <w:noProof/>
              <w:color w:val="FFFFFF" w:themeColor="background1"/>
              <w:sz w:val="22"/>
              <w:szCs w:val="22"/>
            </w:rPr>
          </w:pPr>
          <w:hyperlink r:id="rId2" w:history="1">
            <w:r w:rsidR="0076320A" w:rsidRPr="00AB7F01">
              <w:rPr>
                <w:rStyle w:val="Hyperlink"/>
                <w:rFonts w:ascii="Arial" w:hAnsi="Arial" w:cs="Arial"/>
                <w:noProof/>
                <w:color w:val="FFFFFF" w:themeColor="background1"/>
                <w:sz w:val="22"/>
                <w:szCs w:val="22"/>
              </w:rPr>
              <w:t>www.goldsmithchambers.com</w:t>
            </w:r>
          </w:hyperlink>
          <w:r w:rsidR="0076320A">
            <w:rPr>
              <w:rFonts w:ascii="Arial" w:hAnsi="Arial" w:cs="Arial"/>
              <w:noProof/>
              <w:color w:val="FFFFFF" w:themeColor="background1"/>
              <w:sz w:val="22"/>
              <w:szCs w:val="22"/>
            </w:rPr>
            <w:t xml:space="preserve">         Tel: </w:t>
          </w:r>
          <w:r w:rsidR="0076320A" w:rsidRPr="00AF6124">
            <w:rPr>
              <w:rFonts w:ascii="Arial" w:hAnsi="Arial" w:cs="Arial"/>
              <w:noProof/>
              <w:color w:val="FFFFFF" w:themeColor="background1"/>
              <w:sz w:val="22"/>
              <w:szCs w:val="22"/>
            </w:rPr>
            <w:t>020 7353 6802</w:t>
          </w:r>
          <w:r w:rsidR="0076320A">
            <w:rPr>
              <w:rFonts w:ascii="Arial" w:hAnsi="Arial" w:cs="Arial"/>
              <w:noProof/>
              <w:color w:val="FFFFFF" w:themeColor="background1"/>
              <w:sz w:val="22"/>
              <w:szCs w:val="22"/>
            </w:rPr>
            <w:t xml:space="preserve">           </w:t>
          </w:r>
          <w:hyperlink r:id="rId3" w:history="1">
            <w:r w:rsidR="0076320A" w:rsidRPr="00D05B12">
              <w:rPr>
                <w:rStyle w:val="Hyperlink"/>
                <w:rFonts w:ascii="Arial" w:hAnsi="Arial" w:cs="Arial"/>
                <w:noProof/>
                <w:color w:val="FFFFFF" w:themeColor="background1"/>
                <w:sz w:val="22"/>
                <w:szCs w:val="22"/>
              </w:rPr>
              <w:t>clerks@goldsmithchambers.com</w:t>
            </w:r>
          </w:hyperlink>
        </w:p>
        <w:p w:rsidR="0076320A" w:rsidRDefault="0076320A" w:rsidP="00295F98">
          <w:pPr>
            <w:jc w:val="center"/>
            <w:rPr>
              <w:noProof/>
              <w:sz w:val="18"/>
              <w:szCs w:val="18"/>
            </w:rPr>
          </w:pPr>
        </w:p>
      </w:tc>
    </w:tr>
  </w:tbl>
  <w:p w:rsidR="0076320A" w:rsidRDefault="007632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874D7" w:rsidRDefault="00F874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D3" w:rsidRDefault="00EF78D3">
      <w:pPr>
        <w:spacing w:after="0" w:line="240" w:lineRule="auto"/>
      </w:pPr>
      <w:r>
        <w:separator/>
      </w:r>
    </w:p>
  </w:footnote>
  <w:footnote w:type="continuationSeparator" w:id="0">
    <w:p w:rsidR="00EF78D3" w:rsidRDefault="00EF78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320A" w:rsidRDefault="001738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735047" o:spid="_x0000_s2051" type="#_x0000_t75" alt="Samantha-Giffin-356x271" style="position:absolute;margin-left:0;margin-top:0;width:539.85pt;height:410.95pt;z-index:-251657216;mso-wrap-edited:f;mso-width-percent:0;mso-height-percent:0;mso-position-horizontal:center;mso-position-horizontal-relative:margin;mso-position-vertical:center;mso-position-vertical-relative:margin;mso-width-percent:0;mso-height-percent:0" o:allowincell="f">
          <v:imagedata r:id="rId1" o:title="Samantha-Giffin-356x27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320A" w:rsidRDefault="001738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735048" o:spid="_x0000_s2050" type="#_x0000_t75" alt="Samantha-Giffin-356x271" style="position:absolute;margin-left:0;margin-top:0;width:539.85pt;height:410.95pt;z-index:-251656192;mso-wrap-edited:f;mso-width-percent:0;mso-height-percent:0;mso-position-horizontal:center;mso-position-horizontal-relative:margin;mso-position-vertical:center;mso-position-vertical-relative:margin;mso-width-percent:0;mso-height-percent:0" o:allowincell="f">
          <v:imagedata r:id="rId1" o:title="Samantha-Giffin-356x27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6320A" w:rsidRDefault="001738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735046" o:spid="_x0000_s2049" type="#_x0000_t75" alt="Samantha-Giffin-356x271" style="position:absolute;margin-left:0;margin-top:0;width:539.85pt;height:410.95pt;z-index:-251658240;mso-wrap-edited:f;mso-width-percent:0;mso-height-percent:0;mso-position-horizontal:center;mso-position-horizontal-relative:margin;mso-position-vertical:center;mso-position-vertical-relative:margin;mso-width-percent:0;mso-height-percent:0" o:allowincell="f">
          <v:imagedata r:id="rId1" o:title="Samantha-Giffin-356x27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CC4"/>
    <w:multiLevelType w:val="hybridMultilevel"/>
    <w:tmpl w:val="610434F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1"/>
    <w:rsid w:val="00004E98"/>
    <w:rsid w:val="000511E6"/>
    <w:rsid w:val="000A4438"/>
    <w:rsid w:val="000D1843"/>
    <w:rsid w:val="000F187E"/>
    <w:rsid w:val="000F2C5E"/>
    <w:rsid w:val="000F5745"/>
    <w:rsid w:val="001504BF"/>
    <w:rsid w:val="00167CD0"/>
    <w:rsid w:val="0017381F"/>
    <w:rsid w:val="00173B84"/>
    <w:rsid w:val="002342C8"/>
    <w:rsid w:val="00295F98"/>
    <w:rsid w:val="002E6E02"/>
    <w:rsid w:val="003517B1"/>
    <w:rsid w:val="003C0BAD"/>
    <w:rsid w:val="003C1BAB"/>
    <w:rsid w:val="003E445E"/>
    <w:rsid w:val="003E5F32"/>
    <w:rsid w:val="00453063"/>
    <w:rsid w:val="005322F1"/>
    <w:rsid w:val="0053385A"/>
    <w:rsid w:val="00551CED"/>
    <w:rsid w:val="006343EF"/>
    <w:rsid w:val="006453EF"/>
    <w:rsid w:val="00655D5F"/>
    <w:rsid w:val="006764DF"/>
    <w:rsid w:val="0068602C"/>
    <w:rsid w:val="006A4CC4"/>
    <w:rsid w:val="006A5F02"/>
    <w:rsid w:val="007060CF"/>
    <w:rsid w:val="00733AB6"/>
    <w:rsid w:val="00736765"/>
    <w:rsid w:val="0076320A"/>
    <w:rsid w:val="00777FB4"/>
    <w:rsid w:val="007852DA"/>
    <w:rsid w:val="007855DE"/>
    <w:rsid w:val="0079476C"/>
    <w:rsid w:val="00817FDD"/>
    <w:rsid w:val="00863307"/>
    <w:rsid w:val="00884710"/>
    <w:rsid w:val="008851D1"/>
    <w:rsid w:val="008956E6"/>
    <w:rsid w:val="00896C52"/>
    <w:rsid w:val="00940230"/>
    <w:rsid w:val="00976EAD"/>
    <w:rsid w:val="009D404D"/>
    <w:rsid w:val="009F54C6"/>
    <w:rsid w:val="00A057C6"/>
    <w:rsid w:val="00A05F2D"/>
    <w:rsid w:val="00A82319"/>
    <w:rsid w:val="00AB7F01"/>
    <w:rsid w:val="00AE2D15"/>
    <w:rsid w:val="00AF6124"/>
    <w:rsid w:val="00B13EDF"/>
    <w:rsid w:val="00B231BF"/>
    <w:rsid w:val="00B47259"/>
    <w:rsid w:val="00B56AE5"/>
    <w:rsid w:val="00B76528"/>
    <w:rsid w:val="00BA335C"/>
    <w:rsid w:val="00C43CAB"/>
    <w:rsid w:val="00C43CDC"/>
    <w:rsid w:val="00D05B12"/>
    <w:rsid w:val="00D101DC"/>
    <w:rsid w:val="00D235F5"/>
    <w:rsid w:val="00D458DD"/>
    <w:rsid w:val="00E1244B"/>
    <w:rsid w:val="00E16B6C"/>
    <w:rsid w:val="00E20AAB"/>
    <w:rsid w:val="00E96694"/>
    <w:rsid w:val="00EB09BA"/>
    <w:rsid w:val="00EE6F11"/>
    <w:rsid w:val="00EF78D3"/>
    <w:rsid w:val="00F371EA"/>
    <w:rsid w:val="00F8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6343EF"/>
    <w:rPr>
      <w:color w:val="3E84A3" w:themeColor="hyperlink"/>
      <w:u w:val="single"/>
    </w:rPr>
  </w:style>
  <w:style w:type="character" w:customStyle="1" w:styleId="UnresolvedMention">
    <w:name w:val="Unresolved Mention"/>
    <w:basedOn w:val="DefaultParagraphFont"/>
    <w:uiPriority w:val="99"/>
    <w:semiHidden/>
    <w:unhideWhenUsed/>
    <w:rsid w:val="006343EF"/>
    <w:rPr>
      <w:color w:val="808080"/>
      <w:shd w:val="clear" w:color="auto" w:fill="E6E6E6"/>
    </w:rPr>
  </w:style>
  <w:style w:type="character" w:styleId="FollowedHyperlink">
    <w:name w:val="FollowedHyperlink"/>
    <w:basedOn w:val="DefaultParagraphFont"/>
    <w:uiPriority w:val="99"/>
    <w:semiHidden/>
    <w:unhideWhenUsed/>
    <w:rsid w:val="000F2C5E"/>
    <w:rPr>
      <w:color w:val="784869"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6343EF"/>
    <w:rPr>
      <w:color w:val="3E84A3" w:themeColor="hyperlink"/>
      <w:u w:val="single"/>
    </w:rPr>
  </w:style>
  <w:style w:type="character" w:customStyle="1" w:styleId="UnresolvedMention">
    <w:name w:val="Unresolved Mention"/>
    <w:basedOn w:val="DefaultParagraphFont"/>
    <w:uiPriority w:val="99"/>
    <w:semiHidden/>
    <w:unhideWhenUsed/>
    <w:rsid w:val="006343EF"/>
    <w:rPr>
      <w:color w:val="808080"/>
      <w:shd w:val="clear" w:color="auto" w:fill="E6E6E6"/>
    </w:rPr>
  </w:style>
  <w:style w:type="character" w:styleId="FollowedHyperlink">
    <w:name w:val="FollowedHyperlink"/>
    <w:basedOn w:val="DefaultParagraphFont"/>
    <w:uiPriority w:val="99"/>
    <w:semiHidden/>
    <w:unhideWhenUsed/>
    <w:rsid w:val="000F2C5E"/>
    <w:rPr>
      <w:color w:val="7848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tribunalsdecisions.service.gov.uk/utiac/2018-ukut-118" TargetMode="External"/><Relationship Id="rId21" Type="http://schemas.openxmlformats.org/officeDocument/2006/relationships/hyperlink" Target="https://tribunalsdecisions.service.gov.uk/utiac/2018-ukut-89" TargetMode="External"/><Relationship Id="rId22" Type="http://schemas.openxmlformats.org/officeDocument/2006/relationships/hyperlink" Target="https://tribunalsdecisions.service.gov.uk/utiac/2018-ukut-87" TargetMode="External"/><Relationship Id="rId23" Type="http://schemas.openxmlformats.org/officeDocument/2006/relationships/hyperlink" Target="http://www.bailii.org/ew/cases/EWHC/Admin/2018/913.html" TargetMode="External"/><Relationship Id="rId24" Type="http://schemas.openxmlformats.org/officeDocument/2006/relationships/hyperlink" Target="http://www.bailii.org/ew/cases/EWCA/Civ/2018/790.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yperlink" Target="https://www.judiciary.gov.uk/wp-content/uploads/2018/05/bail-guidance-2018-final.pdf" TargetMode="External"/><Relationship Id="rId13" Type="http://schemas.openxmlformats.org/officeDocument/2006/relationships/image" Target="media/image3.jpg"/><Relationship Id="rId14" Type="http://schemas.openxmlformats.org/officeDocument/2006/relationships/hyperlink" Target="https://www.supremecourt.uk/cases/uksc-2016-0187.html" TargetMode="External"/><Relationship Id="rId15" Type="http://schemas.openxmlformats.org/officeDocument/2006/relationships/hyperlink" Target="http://www.goldsmithchambers.com/barristers/charlotte-bayati/" TargetMode="External"/><Relationship Id="rId16" Type="http://schemas.openxmlformats.org/officeDocument/2006/relationships/hyperlink" Target="https://eur-lex.europa.eu/legal-content/EN/TXT/?uri=CELEX%3A62017CC0089" TargetMode="External"/><Relationship Id="rId17" Type="http://schemas.openxmlformats.org/officeDocument/2006/relationships/hyperlink" Target="http://www.goldsmithchambers.com/barristers/anthony-metzer-qc/" TargetMode="External"/><Relationship Id="rId18" Type="http://schemas.openxmlformats.org/officeDocument/2006/relationships/hyperlink" Target="http://www.goldsmithchambers.com/barristers/sanaz-saifolahi/" TargetMode="External"/><Relationship Id="rId19" Type="http://schemas.openxmlformats.org/officeDocument/2006/relationships/hyperlink" Target="http://www.goldsmithchambers.com/summary-factsheet-opinion-advocate-general-bange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hyperlink" Target="http://www.goldsmithchambers.com" TargetMode="External"/><Relationship Id="rId3" Type="http://schemas.openxmlformats.org/officeDocument/2006/relationships/hyperlink" Target="mailto:clerks@goldsmithchamb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288\AppData\Local\Temp\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827F83D-BEF5-2946-AE42-645F126E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\Users\pg288\AppData\Local\Temp\tf03200096.dotx</Template>
  <TotalTime>0</TotalTime>
  <Pages>4</Pages>
  <Words>1740</Words>
  <Characters>9918</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Georget</dc:creator>
  <cp:keywords/>
  <cp:lastModifiedBy>Sarah Pinder</cp:lastModifiedBy>
  <cp:revision>2</cp:revision>
  <cp:lastPrinted>2018-05-07T14:12:00Z</cp:lastPrinted>
  <dcterms:created xsi:type="dcterms:W3CDTF">2018-08-28T12:45:00Z</dcterms:created>
  <dcterms:modified xsi:type="dcterms:W3CDTF">2018-08-28T12:45:00Z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