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7E002" w14:textId="78AA34B2" w:rsidR="00D94EDE" w:rsidRPr="00D94EDE" w:rsidRDefault="00D94EDE" w:rsidP="00D94EDE">
      <w:pPr>
        <w:jc w:val="center"/>
        <w:rPr>
          <w:rFonts w:ascii="Arial" w:hAnsi="Arial" w:cs="Arial"/>
          <w:b/>
          <w:bCs/>
          <w:u w:val="single"/>
          <w:shd w:val="clear" w:color="auto" w:fill="FFFFFF"/>
        </w:rPr>
      </w:pPr>
      <w:r w:rsidRPr="00D94EDE">
        <w:rPr>
          <w:rFonts w:ascii="Arial" w:hAnsi="Arial" w:cs="Arial"/>
          <w:b/>
          <w:bCs/>
          <w:u w:val="single"/>
          <w:shd w:val="clear" w:color="auto" w:fill="FFFFFF"/>
        </w:rPr>
        <w:t>Article Outlining CJEU Case</w:t>
      </w:r>
    </w:p>
    <w:p w14:paraId="34B4931E" w14:textId="77777777" w:rsidR="00D94EDE" w:rsidRDefault="00D94EDE" w:rsidP="00D94EDE">
      <w:pPr>
        <w:jc w:val="center"/>
        <w:rPr>
          <w:rFonts w:ascii="Arial" w:hAnsi="Arial" w:cs="Arial"/>
          <w:b/>
          <w:bCs/>
          <w:sz w:val="22"/>
          <w:szCs w:val="22"/>
          <w:u w:val="single"/>
          <w:shd w:val="clear" w:color="auto" w:fill="FFFFFF"/>
        </w:rPr>
      </w:pPr>
    </w:p>
    <w:p w14:paraId="73158C55" w14:textId="698E53F5" w:rsidR="004742A4" w:rsidRPr="004742A4" w:rsidRDefault="004742A4" w:rsidP="001A5474">
      <w:pPr>
        <w:rPr>
          <w:rFonts w:ascii="Arial" w:hAnsi="Arial" w:cs="Arial"/>
          <w:sz w:val="22"/>
          <w:szCs w:val="22"/>
          <w:shd w:val="clear" w:color="auto" w:fill="FFFFFF"/>
        </w:rPr>
      </w:pPr>
      <w:r w:rsidRPr="004742A4">
        <w:rPr>
          <w:rFonts w:ascii="Arial" w:hAnsi="Arial" w:cs="Arial"/>
          <w:b/>
          <w:bCs/>
          <w:sz w:val="22"/>
          <w:szCs w:val="22"/>
          <w:u w:val="single"/>
          <w:shd w:val="clear" w:color="auto" w:fill="FFFFFF"/>
        </w:rPr>
        <w:t>MCP, C-603/20 PPU</w:t>
      </w:r>
    </w:p>
    <w:p w14:paraId="7A37F4FB" w14:textId="77777777" w:rsidR="004742A4" w:rsidRDefault="004742A4" w:rsidP="001A5474">
      <w:pPr>
        <w:rPr>
          <w:rFonts w:ascii="Arial" w:hAnsi="Arial" w:cs="Arial"/>
          <w:sz w:val="22"/>
          <w:szCs w:val="22"/>
          <w:shd w:val="clear" w:color="auto" w:fill="FFFFFF"/>
        </w:rPr>
      </w:pPr>
    </w:p>
    <w:p w14:paraId="3D996B88" w14:textId="5516A479" w:rsidR="001A5474" w:rsidRPr="00114286" w:rsidRDefault="001A5474" w:rsidP="001A5474">
      <w:pPr>
        <w:rPr>
          <w:rFonts w:ascii="Arial" w:hAnsi="Arial" w:cs="Arial"/>
          <w:sz w:val="22"/>
          <w:szCs w:val="22"/>
          <w:shd w:val="clear" w:color="auto" w:fill="FFFFFF"/>
        </w:rPr>
      </w:pPr>
      <w:r w:rsidRPr="001A5474">
        <w:rPr>
          <w:rFonts w:ascii="Arial" w:hAnsi="Arial" w:cs="Arial"/>
          <w:sz w:val="22"/>
          <w:szCs w:val="22"/>
          <w:shd w:val="clear" w:color="auto" w:fill="FFFFFF"/>
        </w:rPr>
        <w:t>Anthony Metzer QC and Dr Charlotte Proudman represent</w:t>
      </w:r>
      <w:r w:rsidR="00986CF4">
        <w:rPr>
          <w:rFonts w:ascii="Arial" w:hAnsi="Arial" w:cs="Arial"/>
          <w:sz w:val="22"/>
          <w:szCs w:val="22"/>
          <w:shd w:val="clear" w:color="auto" w:fill="FFFFFF"/>
        </w:rPr>
        <w:t>ed</w:t>
      </w:r>
      <w:r w:rsidRPr="001A5474">
        <w:rPr>
          <w:rFonts w:ascii="Arial" w:hAnsi="Arial" w:cs="Arial"/>
          <w:sz w:val="22"/>
          <w:szCs w:val="22"/>
          <w:shd w:val="clear" w:color="auto" w:fill="FFFFFF"/>
        </w:rPr>
        <w:t xml:space="preserve"> the </w:t>
      </w:r>
      <w:r w:rsidR="00170499">
        <w:rPr>
          <w:rFonts w:ascii="Arial" w:hAnsi="Arial" w:cs="Arial"/>
          <w:sz w:val="22"/>
          <w:szCs w:val="22"/>
          <w:shd w:val="clear" w:color="auto" w:fill="FFFFFF"/>
        </w:rPr>
        <w:t>m</w:t>
      </w:r>
      <w:r w:rsidRPr="001A5474">
        <w:rPr>
          <w:rFonts w:ascii="Arial" w:hAnsi="Arial" w:cs="Arial"/>
          <w:sz w:val="22"/>
          <w:szCs w:val="22"/>
          <w:shd w:val="clear" w:color="auto" w:fill="FFFFFF"/>
        </w:rPr>
        <w:t xml:space="preserve">other </w:t>
      </w:r>
      <w:r w:rsidR="00170499">
        <w:rPr>
          <w:rFonts w:ascii="Arial" w:hAnsi="Arial" w:cs="Arial"/>
          <w:sz w:val="22"/>
          <w:szCs w:val="22"/>
          <w:shd w:val="clear" w:color="auto" w:fill="FFFFFF"/>
        </w:rPr>
        <w:t>at a</w:t>
      </w:r>
      <w:r w:rsidRPr="001A5474">
        <w:rPr>
          <w:rFonts w:ascii="Arial" w:hAnsi="Arial" w:cs="Arial"/>
          <w:sz w:val="22"/>
          <w:szCs w:val="22"/>
          <w:shd w:val="clear" w:color="auto" w:fill="FFFFFF"/>
        </w:rPr>
        <w:t xml:space="preserve"> </w:t>
      </w:r>
      <w:r w:rsidR="00E573A1">
        <w:rPr>
          <w:rFonts w:ascii="Arial" w:hAnsi="Arial" w:cs="Arial"/>
          <w:sz w:val="22"/>
          <w:szCs w:val="22"/>
          <w:shd w:val="clear" w:color="auto" w:fill="FFFFFF"/>
        </w:rPr>
        <w:t>hearing</w:t>
      </w:r>
      <w:r w:rsidR="00170499">
        <w:rPr>
          <w:rFonts w:ascii="Arial" w:hAnsi="Arial" w:cs="Arial"/>
          <w:sz w:val="22"/>
          <w:szCs w:val="22"/>
          <w:shd w:val="clear" w:color="auto" w:fill="FFFFFF"/>
        </w:rPr>
        <w:t xml:space="preserve"> before the CJEU (appearing remotely) f</w:t>
      </w:r>
      <w:r w:rsidR="00170499" w:rsidRPr="001A5474">
        <w:rPr>
          <w:rFonts w:ascii="Arial" w:hAnsi="Arial" w:cs="Arial"/>
          <w:sz w:val="22"/>
          <w:szCs w:val="22"/>
          <w:shd w:val="clear" w:color="auto" w:fill="FFFFFF"/>
        </w:rPr>
        <w:t>ollowing Mostyn J’s application for an urgent preliminary ruling</w:t>
      </w:r>
      <w:r w:rsidR="00170499">
        <w:rPr>
          <w:rFonts w:ascii="Arial" w:hAnsi="Arial" w:cs="Arial"/>
          <w:sz w:val="22"/>
          <w:szCs w:val="22"/>
          <w:shd w:val="clear" w:color="auto" w:fill="FFFFFF"/>
        </w:rPr>
        <w:t xml:space="preserve"> in </w:t>
      </w:r>
      <w:hyperlink r:id="rId5" w:history="1">
        <w:r w:rsidR="00170499" w:rsidRPr="001A5474">
          <w:rPr>
            <w:rStyle w:val="Hyperlink"/>
            <w:rFonts w:ascii="Arial" w:hAnsi="Arial" w:cs="Arial"/>
            <w:b/>
            <w:bCs/>
            <w:i/>
            <w:iCs/>
            <w:sz w:val="22"/>
            <w:szCs w:val="22"/>
            <w:shd w:val="clear" w:color="auto" w:fill="FFFFFF"/>
          </w:rPr>
          <w:t xml:space="preserve">SS v MCP </w:t>
        </w:r>
        <w:r w:rsidR="00170499" w:rsidRPr="001A5474">
          <w:rPr>
            <w:rStyle w:val="Hyperlink"/>
            <w:rFonts w:ascii="Arial" w:hAnsi="Arial" w:cs="Arial"/>
            <w:b/>
            <w:bCs/>
            <w:sz w:val="22"/>
            <w:szCs w:val="22"/>
            <w:shd w:val="clear" w:color="auto" w:fill="FFFFFF"/>
          </w:rPr>
          <w:t>[2020] EWHC 2971 (Fam</w:t>
        </w:r>
        <w:r w:rsidR="00170499" w:rsidRPr="00322F91">
          <w:rPr>
            <w:rStyle w:val="Hyperlink"/>
            <w:rFonts w:ascii="Arial" w:hAnsi="Arial" w:cs="Arial"/>
            <w:b/>
            <w:bCs/>
            <w:sz w:val="22"/>
            <w:szCs w:val="22"/>
            <w:shd w:val="clear" w:color="auto" w:fill="FFFFFF"/>
          </w:rPr>
          <w:t>)</w:t>
        </w:r>
      </w:hyperlink>
      <w:r w:rsidR="00170499">
        <w:rPr>
          <w:rFonts w:ascii="Arial" w:hAnsi="Arial" w:cs="Arial"/>
          <w:sz w:val="22"/>
          <w:szCs w:val="22"/>
          <w:shd w:val="clear" w:color="auto" w:fill="FFFFFF"/>
        </w:rPr>
        <w:t>.</w:t>
      </w:r>
      <w:r w:rsidR="00114286">
        <w:rPr>
          <w:rFonts w:ascii="Arial" w:hAnsi="Arial" w:cs="Arial"/>
          <w:sz w:val="22"/>
          <w:szCs w:val="22"/>
          <w:shd w:val="clear" w:color="auto" w:fill="FFFFFF"/>
        </w:rPr>
        <w:t xml:space="preserve"> </w:t>
      </w:r>
      <w:r w:rsidR="00170499">
        <w:rPr>
          <w:rFonts w:ascii="Arial" w:hAnsi="Arial" w:cs="Arial"/>
          <w:sz w:val="22"/>
          <w:szCs w:val="22"/>
          <w:shd w:val="clear" w:color="auto" w:fill="FFFFFF"/>
        </w:rPr>
        <w:t xml:space="preserve">They </w:t>
      </w:r>
      <w:r w:rsidR="00986CF4">
        <w:rPr>
          <w:rFonts w:ascii="Arial" w:hAnsi="Arial" w:cs="Arial"/>
          <w:sz w:val="22"/>
          <w:szCs w:val="22"/>
          <w:shd w:val="clear" w:color="auto" w:fill="FFFFFF"/>
        </w:rPr>
        <w:t>achiev</w:t>
      </w:r>
      <w:r w:rsidR="00114286">
        <w:rPr>
          <w:rFonts w:ascii="Arial" w:hAnsi="Arial" w:cs="Arial"/>
          <w:sz w:val="22"/>
          <w:szCs w:val="22"/>
          <w:shd w:val="clear" w:color="auto" w:fill="FFFFFF"/>
        </w:rPr>
        <w:t>ed</w:t>
      </w:r>
      <w:r w:rsidR="00986CF4">
        <w:rPr>
          <w:rFonts w:ascii="Arial" w:hAnsi="Arial" w:cs="Arial"/>
          <w:sz w:val="22"/>
          <w:szCs w:val="22"/>
          <w:shd w:val="clear" w:color="auto" w:fill="FFFFFF"/>
        </w:rPr>
        <w:t xml:space="preserve"> a successful outcome in what </w:t>
      </w:r>
      <w:r w:rsidR="00170499">
        <w:rPr>
          <w:rFonts w:ascii="Arial" w:hAnsi="Arial" w:cs="Arial"/>
          <w:sz w:val="22"/>
          <w:szCs w:val="22"/>
          <w:shd w:val="clear" w:color="auto" w:fill="FFFFFF"/>
        </w:rPr>
        <w:t xml:space="preserve">is believed to have been </w:t>
      </w:r>
      <w:r w:rsidR="00E573A1">
        <w:rPr>
          <w:rFonts w:ascii="Arial" w:hAnsi="Arial" w:cs="Arial"/>
          <w:sz w:val="22"/>
          <w:szCs w:val="22"/>
          <w:shd w:val="clear" w:color="auto" w:fill="FFFFFF"/>
        </w:rPr>
        <w:t xml:space="preserve">the penultimate </w:t>
      </w:r>
      <w:r w:rsidR="00986CF4">
        <w:rPr>
          <w:rFonts w:ascii="Arial" w:hAnsi="Arial" w:cs="Arial"/>
          <w:sz w:val="22"/>
          <w:szCs w:val="22"/>
          <w:shd w:val="clear" w:color="auto" w:fill="FFFFFF"/>
        </w:rPr>
        <w:t xml:space="preserve">hearing in the </w:t>
      </w:r>
      <w:r w:rsidR="00114286">
        <w:rPr>
          <w:rFonts w:ascii="Arial" w:hAnsi="Arial" w:cs="Arial"/>
          <w:sz w:val="22"/>
          <w:szCs w:val="22"/>
          <w:shd w:val="clear" w:color="auto" w:fill="FFFFFF"/>
        </w:rPr>
        <w:t>CJEU</w:t>
      </w:r>
      <w:r w:rsidR="00974258">
        <w:rPr>
          <w:rFonts w:ascii="Arial" w:hAnsi="Arial" w:cs="Arial"/>
          <w:sz w:val="22"/>
          <w:szCs w:val="22"/>
          <w:shd w:val="clear" w:color="auto" w:fill="FFFFFF"/>
        </w:rPr>
        <w:t xml:space="preserve"> from the UK</w:t>
      </w:r>
      <w:r w:rsidR="00170499">
        <w:rPr>
          <w:rFonts w:ascii="Arial" w:hAnsi="Arial" w:cs="Arial"/>
          <w:sz w:val="22"/>
          <w:szCs w:val="22"/>
          <w:shd w:val="clear" w:color="auto" w:fill="FFFFFF"/>
        </w:rPr>
        <w:t xml:space="preserve">: </w:t>
      </w:r>
      <w:r w:rsidR="00E573A1">
        <w:rPr>
          <w:rFonts w:ascii="Arial" w:hAnsi="Arial" w:cs="Arial"/>
          <w:sz w:val="22"/>
          <w:szCs w:val="22"/>
          <w:shd w:val="clear" w:color="auto" w:fill="FFFFFF"/>
        </w:rPr>
        <w:t xml:space="preserve"> </w:t>
      </w:r>
      <w:hyperlink r:id="rId6" w:history="1">
        <w:r w:rsidR="00E573A1" w:rsidRPr="00322F91">
          <w:rPr>
            <w:rStyle w:val="Hyperlink"/>
            <w:rFonts w:ascii="Arial" w:hAnsi="Arial" w:cs="Arial"/>
            <w:b/>
            <w:bCs/>
            <w:i/>
            <w:iCs/>
            <w:sz w:val="22"/>
            <w:szCs w:val="22"/>
            <w:shd w:val="clear" w:color="auto" w:fill="FFFFFF"/>
          </w:rPr>
          <w:t>MCP, C-603/20 PPU</w:t>
        </w:r>
      </w:hyperlink>
      <w:r w:rsidR="00E573A1">
        <w:rPr>
          <w:rFonts w:ascii="Arial" w:hAnsi="Arial" w:cs="Arial"/>
          <w:b/>
          <w:bCs/>
          <w:i/>
          <w:iCs/>
          <w:sz w:val="22"/>
          <w:szCs w:val="22"/>
          <w:u w:val="single"/>
          <w:shd w:val="clear" w:color="auto" w:fill="FFFFFF"/>
        </w:rPr>
        <w:t>.</w:t>
      </w:r>
      <w:r w:rsidR="00E573A1">
        <w:rPr>
          <w:rFonts w:ascii="Arial" w:hAnsi="Arial" w:cs="Arial"/>
          <w:b/>
          <w:bCs/>
          <w:i/>
          <w:iCs/>
          <w:sz w:val="22"/>
          <w:szCs w:val="22"/>
          <w:shd w:val="clear" w:color="auto" w:fill="FFFFFF"/>
        </w:rPr>
        <w:t xml:space="preserve"> </w:t>
      </w:r>
    </w:p>
    <w:p w14:paraId="5A3F417D" w14:textId="77777777" w:rsidR="001A5474" w:rsidRDefault="001A5474" w:rsidP="001A5474">
      <w:pPr>
        <w:rPr>
          <w:rFonts w:ascii="Arial" w:hAnsi="Arial" w:cs="Arial"/>
          <w:sz w:val="22"/>
          <w:szCs w:val="22"/>
          <w:shd w:val="clear" w:color="auto" w:fill="FFFFFF"/>
        </w:rPr>
      </w:pPr>
    </w:p>
    <w:p w14:paraId="060387F1" w14:textId="3ADD8A90" w:rsidR="001A5474" w:rsidRPr="001A5474" w:rsidRDefault="001A5474" w:rsidP="001A5474">
      <w:pPr>
        <w:rPr>
          <w:rFonts w:ascii="Arial" w:hAnsi="Arial" w:cs="Arial"/>
          <w:sz w:val="22"/>
          <w:szCs w:val="22"/>
          <w:shd w:val="clear" w:color="auto" w:fill="FFFFFF"/>
        </w:rPr>
      </w:pPr>
      <w:r w:rsidRPr="001A5474">
        <w:rPr>
          <w:rFonts w:ascii="Arial" w:hAnsi="Arial" w:cs="Arial"/>
          <w:sz w:val="22"/>
          <w:szCs w:val="22"/>
          <w:shd w:val="clear" w:color="auto" w:fill="FFFFFF"/>
        </w:rPr>
        <w:t xml:space="preserve">The </w:t>
      </w:r>
      <w:r w:rsidR="00170499">
        <w:rPr>
          <w:rFonts w:ascii="Arial" w:hAnsi="Arial" w:cs="Arial"/>
          <w:sz w:val="22"/>
          <w:szCs w:val="22"/>
          <w:shd w:val="clear" w:color="auto" w:fill="FFFFFF"/>
        </w:rPr>
        <w:t xml:space="preserve">background to the </w:t>
      </w:r>
      <w:r w:rsidRPr="001A5474">
        <w:rPr>
          <w:rFonts w:ascii="Arial" w:hAnsi="Arial" w:cs="Arial"/>
          <w:sz w:val="22"/>
          <w:szCs w:val="22"/>
          <w:shd w:val="clear" w:color="auto" w:fill="FFFFFF"/>
        </w:rPr>
        <w:t xml:space="preserve">original case </w:t>
      </w:r>
      <w:r w:rsidR="00322F91">
        <w:rPr>
          <w:rFonts w:ascii="Arial" w:hAnsi="Arial" w:cs="Arial"/>
          <w:sz w:val="22"/>
          <w:szCs w:val="22"/>
          <w:shd w:val="clear" w:color="auto" w:fill="FFFFFF"/>
        </w:rPr>
        <w:t xml:space="preserve">in the High Court of England and Wales </w:t>
      </w:r>
      <w:r w:rsidRPr="001A5474">
        <w:rPr>
          <w:rFonts w:ascii="Arial" w:hAnsi="Arial" w:cs="Arial"/>
          <w:sz w:val="22"/>
          <w:szCs w:val="22"/>
          <w:shd w:val="clear" w:color="auto" w:fill="FFFFFF"/>
        </w:rPr>
        <w:t xml:space="preserve">concerned a child abduction matter in which the </w:t>
      </w:r>
      <w:r w:rsidR="00170499">
        <w:rPr>
          <w:rFonts w:ascii="Arial" w:hAnsi="Arial" w:cs="Arial"/>
          <w:sz w:val="22"/>
          <w:szCs w:val="22"/>
          <w:shd w:val="clear" w:color="auto" w:fill="FFFFFF"/>
        </w:rPr>
        <w:t>f</w:t>
      </w:r>
      <w:r w:rsidRPr="001A5474">
        <w:rPr>
          <w:rFonts w:ascii="Arial" w:hAnsi="Arial" w:cs="Arial"/>
          <w:sz w:val="22"/>
          <w:szCs w:val="22"/>
          <w:shd w:val="clear" w:color="auto" w:fill="FFFFFF"/>
        </w:rPr>
        <w:t>ather had applied for the immediate return of the child from India to the UK</w:t>
      </w:r>
      <w:r w:rsidR="00322F91">
        <w:rPr>
          <w:rFonts w:ascii="Arial" w:hAnsi="Arial" w:cs="Arial"/>
          <w:sz w:val="22"/>
          <w:szCs w:val="22"/>
          <w:shd w:val="clear" w:color="auto" w:fill="FFFFFF"/>
        </w:rPr>
        <w:t>,</w:t>
      </w:r>
      <w:r w:rsidRPr="001A5474">
        <w:rPr>
          <w:rFonts w:ascii="Arial" w:hAnsi="Arial" w:cs="Arial"/>
          <w:sz w:val="22"/>
          <w:szCs w:val="22"/>
          <w:shd w:val="clear" w:color="auto" w:fill="FFFFFF"/>
        </w:rPr>
        <w:t xml:space="preserve"> which the </w:t>
      </w:r>
      <w:r w:rsidR="00170499">
        <w:rPr>
          <w:rFonts w:ascii="Arial" w:hAnsi="Arial" w:cs="Arial"/>
          <w:sz w:val="22"/>
          <w:szCs w:val="22"/>
          <w:shd w:val="clear" w:color="auto" w:fill="FFFFFF"/>
        </w:rPr>
        <w:t>m</w:t>
      </w:r>
      <w:r w:rsidRPr="001A5474">
        <w:rPr>
          <w:rFonts w:ascii="Arial" w:hAnsi="Arial" w:cs="Arial"/>
          <w:sz w:val="22"/>
          <w:szCs w:val="22"/>
          <w:shd w:val="clear" w:color="auto" w:fill="FFFFFF"/>
        </w:rPr>
        <w:t xml:space="preserve">other opposed. </w:t>
      </w:r>
      <w:r w:rsidR="00170499">
        <w:rPr>
          <w:rFonts w:ascii="Arial" w:hAnsi="Arial" w:cs="Arial"/>
          <w:sz w:val="22"/>
          <w:szCs w:val="22"/>
          <w:shd w:val="clear" w:color="auto" w:fill="FFFFFF"/>
        </w:rPr>
        <w:t xml:space="preserve">There was a background of alleged domestic abuse. </w:t>
      </w:r>
      <w:r w:rsidRPr="001A5474">
        <w:rPr>
          <w:rFonts w:ascii="Arial" w:hAnsi="Arial" w:cs="Arial"/>
          <w:sz w:val="22"/>
          <w:szCs w:val="22"/>
          <w:shd w:val="clear" w:color="auto" w:fill="FFFFFF"/>
        </w:rPr>
        <w:t xml:space="preserve">The </w:t>
      </w:r>
      <w:r w:rsidR="00170499">
        <w:rPr>
          <w:rFonts w:ascii="Arial" w:hAnsi="Arial" w:cs="Arial"/>
          <w:sz w:val="22"/>
          <w:szCs w:val="22"/>
          <w:shd w:val="clear" w:color="auto" w:fill="FFFFFF"/>
        </w:rPr>
        <w:t xml:space="preserve">High </w:t>
      </w:r>
      <w:r w:rsidRPr="001A5474">
        <w:rPr>
          <w:rFonts w:ascii="Arial" w:hAnsi="Arial" w:cs="Arial"/>
          <w:sz w:val="22"/>
          <w:szCs w:val="22"/>
          <w:shd w:val="clear" w:color="auto" w:fill="FFFFFF"/>
        </w:rPr>
        <w:t>Court found that the child was habitually resident in India</w:t>
      </w:r>
      <w:r w:rsidR="00322F91">
        <w:rPr>
          <w:rFonts w:ascii="Arial" w:hAnsi="Arial" w:cs="Arial"/>
          <w:sz w:val="22"/>
          <w:szCs w:val="22"/>
          <w:shd w:val="clear" w:color="auto" w:fill="FFFFFF"/>
        </w:rPr>
        <w:t>,</w:t>
      </w:r>
      <w:r w:rsidRPr="001A5474">
        <w:rPr>
          <w:rFonts w:ascii="Arial" w:hAnsi="Arial" w:cs="Arial"/>
          <w:sz w:val="22"/>
          <w:szCs w:val="22"/>
          <w:shd w:val="clear" w:color="auto" w:fill="FFFFFF"/>
        </w:rPr>
        <w:t xml:space="preserve"> having spent around two years there</w:t>
      </w:r>
      <w:r w:rsidR="00322F91">
        <w:rPr>
          <w:rFonts w:ascii="Arial" w:hAnsi="Arial" w:cs="Arial"/>
          <w:sz w:val="22"/>
          <w:szCs w:val="22"/>
          <w:shd w:val="clear" w:color="auto" w:fill="FFFFFF"/>
        </w:rPr>
        <w:t xml:space="preserve">, and was now fully integrated into </w:t>
      </w:r>
      <w:r w:rsidR="00986CF4">
        <w:rPr>
          <w:rFonts w:ascii="Arial" w:hAnsi="Arial" w:cs="Arial"/>
          <w:sz w:val="22"/>
          <w:szCs w:val="22"/>
          <w:shd w:val="clear" w:color="auto" w:fill="FFFFFF"/>
        </w:rPr>
        <w:t>their Indian</w:t>
      </w:r>
      <w:r w:rsidR="00322F91">
        <w:rPr>
          <w:rFonts w:ascii="Arial" w:hAnsi="Arial" w:cs="Arial"/>
          <w:sz w:val="22"/>
          <w:szCs w:val="22"/>
          <w:shd w:val="clear" w:color="auto" w:fill="FFFFFF"/>
        </w:rPr>
        <w:t xml:space="preserve"> social and familial environment. </w:t>
      </w:r>
      <w:r w:rsidRPr="001A5474">
        <w:rPr>
          <w:rFonts w:ascii="Arial" w:hAnsi="Arial" w:cs="Arial"/>
          <w:sz w:val="22"/>
          <w:szCs w:val="22"/>
          <w:shd w:val="clear" w:color="auto" w:fill="FFFFFF"/>
        </w:rPr>
        <w:t xml:space="preserve">However, there was ambiguity in relation to the territorial reach of Article 10 of Brussels IIa, principally </w:t>
      </w:r>
      <w:r w:rsidR="00170499">
        <w:rPr>
          <w:rFonts w:ascii="Arial" w:hAnsi="Arial" w:cs="Arial"/>
          <w:sz w:val="22"/>
          <w:szCs w:val="22"/>
          <w:shd w:val="clear" w:color="auto" w:fill="FFFFFF"/>
        </w:rPr>
        <w:t xml:space="preserve">as to </w:t>
      </w:r>
      <w:r w:rsidRPr="001A5474">
        <w:rPr>
          <w:rFonts w:ascii="Arial" w:hAnsi="Arial" w:cs="Arial"/>
          <w:sz w:val="22"/>
          <w:szCs w:val="22"/>
          <w:shd w:val="clear" w:color="auto" w:fill="FFFFFF"/>
        </w:rPr>
        <w:t xml:space="preserve">whether its provisions applied between Member States and </w:t>
      </w:r>
      <w:r w:rsidR="00322F91">
        <w:rPr>
          <w:rFonts w:ascii="Arial" w:hAnsi="Arial" w:cs="Arial"/>
          <w:sz w:val="22"/>
          <w:szCs w:val="22"/>
          <w:shd w:val="clear" w:color="auto" w:fill="FFFFFF"/>
        </w:rPr>
        <w:t>t</w:t>
      </w:r>
      <w:r w:rsidRPr="001A5474">
        <w:rPr>
          <w:rFonts w:ascii="Arial" w:hAnsi="Arial" w:cs="Arial"/>
          <w:sz w:val="22"/>
          <w:szCs w:val="22"/>
          <w:shd w:val="clear" w:color="auto" w:fill="FFFFFF"/>
        </w:rPr>
        <w:t xml:space="preserve">hird States, such as India. Mostyn J </w:t>
      </w:r>
      <w:r w:rsidR="00170499">
        <w:rPr>
          <w:rFonts w:ascii="Arial" w:hAnsi="Arial" w:cs="Arial"/>
          <w:sz w:val="22"/>
          <w:szCs w:val="22"/>
          <w:shd w:val="clear" w:color="auto" w:fill="FFFFFF"/>
        </w:rPr>
        <w:t xml:space="preserve">therefore </w:t>
      </w:r>
      <w:r w:rsidRPr="001A5474">
        <w:rPr>
          <w:rFonts w:ascii="Arial" w:hAnsi="Arial" w:cs="Arial"/>
          <w:sz w:val="22"/>
          <w:szCs w:val="22"/>
          <w:shd w:val="clear" w:color="auto" w:fill="FFFFFF"/>
        </w:rPr>
        <w:t xml:space="preserve">made an </w:t>
      </w:r>
      <w:r w:rsidR="00114286">
        <w:rPr>
          <w:rFonts w:ascii="Arial" w:hAnsi="Arial" w:cs="Arial"/>
          <w:sz w:val="22"/>
          <w:szCs w:val="22"/>
          <w:shd w:val="clear" w:color="auto" w:fill="FFFFFF"/>
        </w:rPr>
        <w:t xml:space="preserve">urgent </w:t>
      </w:r>
      <w:r w:rsidRPr="001A5474">
        <w:rPr>
          <w:rFonts w:ascii="Arial" w:hAnsi="Arial" w:cs="Arial"/>
          <w:sz w:val="22"/>
          <w:szCs w:val="22"/>
          <w:shd w:val="clear" w:color="auto" w:fill="FFFFFF"/>
        </w:rPr>
        <w:t xml:space="preserve">application to the CJEU </w:t>
      </w:r>
      <w:r w:rsidR="00114286">
        <w:rPr>
          <w:rFonts w:ascii="Arial" w:hAnsi="Arial" w:cs="Arial"/>
          <w:sz w:val="22"/>
          <w:szCs w:val="22"/>
          <w:shd w:val="clear" w:color="auto" w:fill="FFFFFF"/>
        </w:rPr>
        <w:t xml:space="preserve">for a preliminary ruling </w:t>
      </w:r>
      <w:r w:rsidRPr="001A5474">
        <w:rPr>
          <w:rFonts w:ascii="Arial" w:hAnsi="Arial" w:cs="Arial"/>
          <w:sz w:val="22"/>
          <w:szCs w:val="22"/>
          <w:shd w:val="clear" w:color="auto" w:fill="FFFFFF"/>
        </w:rPr>
        <w:t>to determine th</w:t>
      </w:r>
      <w:r w:rsidR="00170499">
        <w:rPr>
          <w:rFonts w:ascii="Arial" w:hAnsi="Arial" w:cs="Arial"/>
          <w:sz w:val="22"/>
          <w:szCs w:val="22"/>
          <w:shd w:val="clear" w:color="auto" w:fill="FFFFFF"/>
        </w:rPr>
        <w:t>is</w:t>
      </w:r>
      <w:r w:rsidRPr="001A5474">
        <w:rPr>
          <w:rFonts w:ascii="Arial" w:hAnsi="Arial" w:cs="Arial"/>
          <w:sz w:val="22"/>
          <w:szCs w:val="22"/>
          <w:shd w:val="clear" w:color="auto" w:fill="FFFFFF"/>
        </w:rPr>
        <w:t xml:space="preserve"> matter. </w:t>
      </w:r>
    </w:p>
    <w:p w14:paraId="44FE0436" w14:textId="77777777" w:rsidR="001A5474" w:rsidRPr="001A5474" w:rsidRDefault="001A5474" w:rsidP="001A5474">
      <w:pPr>
        <w:rPr>
          <w:rFonts w:ascii="Arial" w:hAnsi="Arial" w:cs="Arial"/>
          <w:sz w:val="22"/>
          <w:szCs w:val="22"/>
          <w:shd w:val="clear" w:color="auto" w:fill="FFFFFF"/>
        </w:rPr>
      </w:pPr>
    </w:p>
    <w:p w14:paraId="34BF41D5" w14:textId="45D3DF6C" w:rsidR="00322F91" w:rsidRPr="00322F91" w:rsidRDefault="001A5474" w:rsidP="00322F91">
      <w:pPr>
        <w:rPr>
          <w:rFonts w:ascii="Arial" w:hAnsi="Arial" w:cs="Arial"/>
          <w:sz w:val="22"/>
          <w:szCs w:val="22"/>
          <w:shd w:val="clear" w:color="auto" w:fill="FFFFFF"/>
        </w:rPr>
      </w:pPr>
      <w:r w:rsidRPr="001A5474">
        <w:rPr>
          <w:rFonts w:ascii="Arial" w:hAnsi="Arial" w:cs="Arial"/>
          <w:sz w:val="22"/>
          <w:szCs w:val="22"/>
          <w:shd w:val="clear" w:color="auto" w:fill="FFFFFF"/>
        </w:rPr>
        <w:t xml:space="preserve">Following written observations and oral arguments </w:t>
      </w:r>
      <w:r w:rsidR="00986CF4">
        <w:rPr>
          <w:rFonts w:ascii="Arial" w:hAnsi="Arial" w:cs="Arial"/>
          <w:sz w:val="22"/>
          <w:szCs w:val="22"/>
          <w:shd w:val="clear" w:color="auto" w:fill="FFFFFF"/>
        </w:rPr>
        <w:t xml:space="preserve">by </w:t>
      </w:r>
      <w:r w:rsidRPr="001A5474">
        <w:rPr>
          <w:rFonts w:ascii="Arial" w:hAnsi="Arial" w:cs="Arial"/>
          <w:sz w:val="22"/>
          <w:szCs w:val="22"/>
          <w:shd w:val="clear" w:color="auto" w:fill="FFFFFF"/>
        </w:rPr>
        <w:t>the parties</w:t>
      </w:r>
      <w:r w:rsidR="00170499">
        <w:rPr>
          <w:rFonts w:ascii="Arial" w:hAnsi="Arial" w:cs="Arial"/>
          <w:sz w:val="22"/>
          <w:szCs w:val="22"/>
          <w:shd w:val="clear" w:color="auto" w:fill="FFFFFF"/>
        </w:rPr>
        <w:t xml:space="preserve"> and the European Commission</w:t>
      </w:r>
      <w:r w:rsidRPr="001A5474">
        <w:rPr>
          <w:rFonts w:ascii="Arial" w:hAnsi="Arial" w:cs="Arial"/>
          <w:sz w:val="22"/>
          <w:szCs w:val="22"/>
          <w:shd w:val="clear" w:color="auto" w:fill="FFFFFF"/>
        </w:rPr>
        <w:t xml:space="preserve">, </w:t>
      </w:r>
      <w:r w:rsidR="00322F91">
        <w:rPr>
          <w:rFonts w:ascii="Arial" w:hAnsi="Arial" w:cs="Arial"/>
          <w:sz w:val="22"/>
          <w:szCs w:val="22"/>
          <w:shd w:val="clear" w:color="auto" w:fill="FFFFFF"/>
        </w:rPr>
        <w:t>Advocate General Rantos</w:t>
      </w:r>
      <w:r w:rsidRPr="001A5474">
        <w:rPr>
          <w:rFonts w:ascii="Arial" w:hAnsi="Arial" w:cs="Arial"/>
          <w:sz w:val="22"/>
          <w:szCs w:val="22"/>
          <w:shd w:val="clear" w:color="auto" w:fill="FFFFFF"/>
        </w:rPr>
        <w:t xml:space="preserve"> </w:t>
      </w:r>
      <w:r w:rsidR="00170499">
        <w:rPr>
          <w:rFonts w:ascii="Arial" w:hAnsi="Arial" w:cs="Arial"/>
          <w:sz w:val="22"/>
          <w:szCs w:val="22"/>
          <w:shd w:val="clear" w:color="auto" w:fill="FFFFFF"/>
        </w:rPr>
        <w:t>provided</w:t>
      </w:r>
      <w:r w:rsidR="00322F91">
        <w:rPr>
          <w:rFonts w:ascii="Arial" w:hAnsi="Arial" w:cs="Arial"/>
          <w:sz w:val="22"/>
          <w:szCs w:val="22"/>
          <w:shd w:val="clear" w:color="auto" w:fill="FFFFFF"/>
        </w:rPr>
        <w:t xml:space="preserve"> his </w:t>
      </w:r>
      <w:hyperlink r:id="rId7" w:history="1">
        <w:r w:rsidR="00322F91" w:rsidRPr="004742A4">
          <w:rPr>
            <w:rStyle w:val="Hyperlink"/>
            <w:rFonts w:ascii="Arial" w:hAnsi="Arial" w:cs="Arial"/>
            <w:b/>
            <w:bCs/>
            <w:sz w:val="22"/>
            <w:szCs w:val="22"/>
            <w:shd w:val="clear" w:color="auto" w:fill="FFFFFF"/>
          </w:rPr>
          <w:t>Opinion</w:t>
        </w:r>
      </w:hyperlink>
      <w:r w:rsidR="00322F91" w:rsidRPr="004742A4">
        <w:rPr>
          <w:rFonts w:ascii="Arial" w:hAnsi="Arial" w:cs="Arial"/>
          <w:b/>
          <w:bCs/>
          <w:sz w:val="22"/>
          <w:szCs w:val="22"/>
          <w:shd w:val="clear" w:color="auto" w:fill="FFFFFF"/>
        </w:rPr>
        <w:t xml:space="preserve"> </w:t>
      </w:r>
      <w:r w:rsidR="00322F91">
        <w:rPr>
          <w:rFonts w:ascii="Arial" w:hAnsi="Arial" w:cs="Arial"/>
          <w:sz w:val="22"/>
          <w:szCs w:val="22"/>
          <w:shd w:val="clear" w:color="auto" w:fill="FFFFFF"/>
        </w:rPr>
        <w:t xml:space="preserve">in support of submissions made on behalf of the </w:t>
      </w:r>
      <w:r w:rsidR="00170499">
        <w:rPr>
          <w:rFonts w:ascii="Arial" w:hAnsi="Arial" w:cs="Arial"/>
          <w:sz w:val="22"/>
          <w:szCs w:val="22"/>
          <w:shd w:val="clear" w:color="auto" w:fill="FFFFFF"/>
        </w:rPr>
        <w:t>f</w:t>
      </w:r>
      <w:r w:rsidR="00322F91">
        <w:rPr>
          <w:rFonts w:ascii="Arial" w:hAnsi="Arial" w:cs="Arial"/>
          <w:sz w:val="22"/>
          <w:szCs w:val="22"/>
          <w:shd w:val="clear" w:color="auto" w:fill="FFFFFF"/>
        </w:rPr>
        <w:t>ather</w:t>
      </w:r>
      <w:r w:rsidR="00170499">
        <w:rPr>
          <w:rFonts w:ascii="Arial" w:hAnsi="Arial" w:cs="Arial"/>
          <w:sz w:val="22"/>
          <w:szCs w:val="22"/>
          <w:shd w:val="clear" w:color="auto" w:fill="FFFFFF"/>
        </w:rPr>
        <w:t xml:space="preserve">, </w:t>
      </w:r>
      <w:r w:rsidR="00322F91">
        <w:rPr>
          <w:rFonts w:ascii="Arial" w:hAnsi="Arial" w:cs="Arial"/>
          <w:sz w:val="22"/>
          <w:szCs w:val="22"/>
          <w:shd w:val="clear" w:color="auto" w:fill="FFFFFF"/>
        </w:rPr>
        <w:t>conclud</w:t>
      </w:r>
      <w:r w:rsidR="00170499">
        <w:rPr>
          <w:rFonts w:ascii="Arial" w:hAnsi="Arial" w:cs="Arial"/>
          <w:sz w:val="22"/>
          <w:szCs w:val="22"/>
          <w:shd w:val="clear" w:color="auto" w:fill="FFFFFF"/>
        </w:rPr>
        <w:t>ing</w:t>
      </w:r>
      <w:r w:rsidR="00322F91">
        <w:rPr>
          <w:rFonts w:ascii="Arial" w:hAnsi="Arial" w:cs="Arial"/>
          <w:sz w:val="22"/>
          <w:szCs w:val="22"/>
          <w:shd w:val="clear" w:color="auto" w:fill="FFFFFF"/>
        </w:rPr>
        <w:t xml:space="preserve"> that Article 10 of Brussels IIa should be </w:t>
      </w:r>
      <w:r w:rsidR="00322F91" w:rsidRPr="00322F91">
        <w:rPr>
          <w:rFonts w:ascii="Arial" w:hAnsi="Arial" w:cs="Arial"/>
          <w:sz w:val="22"/>
          <w:szCs w:val="22"/>
          <w:shd w:val="clear" w:color="auto" w:fill="FFFFFF"/>
        </w:rPr>
        <w:t xml:space="preserve">interpreted as meaning that the </w:t>
      </w:r>
      <w:r w:rsidR="00E573A1">
        <w:rPr>
          <w:rFonts w:ascii="Arial" w:hAnsi="Arial" w:cs="Arial"/>
          <w:sz w:val="22"/>
          <w:szCs w:val="22"/>
          <w:shd w:val="clear" w:color="auto" w:fill="FFFFFF"/>
        </w:rPr>
        <w:t xml:space="preserve">courts </w:t>
      </w:r>
      <w:r w:rsidR="00322F91" w:rsidRPr="00322F91">
        <w:rPr>
          <w:rFonts w:ascii="Arial" w:hAnsi="Arial" w:cs="Arial"/>
          <w:sz w:val="22"/>
          <w:szCs w:val="22"/>
          <w:shd w:val="clear" w:color="auto" w:fill="FFFFFF"/>
        </w:rPr>
        <w:t xml:space="preserve">of the Member State in which a child was habitually resident immediately before </w:t>
      </w:r>
      <w:r w:rsidR="00170499">
        <w:rPr>
          <w:rFonts w:ascii="Arial" w:hAnsi="Arial" w:cs="Arial"/>
          <w:sz w:val="22"/>
          <w:szCs w:val="22"/>
          <w:shd w:val="clear" w:color="auto" w:fill="FFFFFF"/>
        </w:rPr>
        <w:t xml:space="preserve">their </w:t>
      </w:r>
      <w:r w:rsidR="00322F91" w:rsidRPr="00322F91">
        <w:rPr>
          <w:rFonts w:ascii="Arial" w:hAnsi="Arial" w:cs="Arial"/>
          <w:sz w:val="22"/>
          <w:szCs w:val="22"/>
          <w:shd w:val="clear" w:color="auto" w:fill="FFFFFF"/>
        </w:rPr>
        <w:t>wrongful removal or retention</w:t>
      </w:r>
      <w:r w:rsidR="00986CF4">
        <w:rPr>
          <w:rFonts w:ascii="Arial" w:hAnsi="Arial" w:cs="Arial"/>
          <w:sz w:val="22"/>
          <w:szCs w:val="22"/>
          <w:shd w:val="clear" w:color="auto" w:fill="FFFFFF"/>
        </w:rPr>
        <w:t>,</w:t>
      </w:r>
      <w:r w:rsidR="00322F91" w:rsidRPr="00322F91">
        <w:rPr>
          <w:rFonts w:ascii="Arial" w:hAnsi="Arial" w:cs="Arial"/>
          <w:sz w:val="22"/>
          <w:szCs w:val="22"/>
          <w:shd w:val="clear" w:color="auto" w:fill="FFFFFF"/>
        </w:rPr>
        <w:t xml:space="preserve"> retain their jurisdiction to rule on parental responsibility in respect of that child for an </w:t>
      </w:r>
      <w:r w:rsidR="00322F91" w:rsidRPr="00322F91">
        <w:rPr>
          <w:rFonts w:ascii="Arial" w:hAnsi="Arial" w:cs="Arial"/>
          <w:i/>
          <w:iCs/>
          <w:sz w:val="22"/>
          <w:szCs w:val="22"/>
          <w:u w:val="single"/>
          <w:shd w:val="clear" w:color="auto" w:fill="FFFFFF"/>
        </w:rPr>
        <w:t>unlimited period of time</w:t>
      </w:r>
      <w:r w:rsidR="00114286">
        <w:rPr>
          <w:rFonts w:ascii="Arial" w:hAnsi="Arial" w:cs="Arial"/>
          <w:sz w:val="22"/>
          <w:szCs w:val="22"/>
          <w:shd w:val="clear" w:color="auto" w:fill="FFFFFF"/>
        </w:rPr>
        <w:t>,</w:t>
      </w:r>
      <w:r w:rsidR="00322F91" w:rsidRPr="00322F91">
        <w:rPr>
          <w:rFonts w:ascii="Arial" w:hAnsi="Arial" w:cs="Arial"/>
          <w:sz w:val="22"/>
          <w:szCs w:val="22"/>
          <w:shd w:val="clear" w:color="auto" w:fill="FFFFFF"/>
        </w:rPr>
        <w:t xml:space="preserve"> </w:t>
      </w:r>
      <w:r w:rsidR="00E573A1">
        <w:rPr>
          <w:rFonts w:ascii="Arial" w:hAnsi="Arial" w:cs="Arial"/>
          <w:sz w:val="22"/>
          <w:szCs w:val="22"/>
          <w:shd w:val="clear" w:color="auto" w:fill="FFFFFF"/>
        </w:rPr>
        <w:t xml:space="preserve">when a </w:t>
      </w:r>
      <w:r w:rsidR="00322F91" w:rsidRPr="00322F91">
        <w:rPr>
          <w:rFonts w:ascii="Arial" w:hAnsi="Arial" w:cs="Arial"/>
          <w:sz w:val="22"/>
          <w:szCs w:val="22"/>
          <w:shd w:val="clear" w:color="auto" w:fill="FFFFFF"/>
        </w:rPr>
        <w:t>child is abducted to a non-Member State</w:t>
      </w:r>
      <w:r w:rsidR="00114286">
        <w:rPr>
          <w:rFonts w:ascii="Arial" w:hAnsi="Arial" w:cs="Arial"/>
          <w:sz w:val="22"/>
          <w:szCs w:val="22"/>
          <w:shd w:val="clear" w:color="auto" w:fill="FFFFFF"/>
        </w:rPr>
        <w:t xml:space="preserve"> and </w:t>
      </w:r>
      <w:r w:rsidR="00E573A1">
        <w:rPr>
          <w:rFonts w:ascii="Arial" w:hAnsi="Arial" w:cs="Arial"/>
          <w:sz w:val="22"/>
          <w:szCs w:val="22"/>
          <w:shd w:val="clear" w:color="auto" w:fill="FFFFFF"/>
        </w:rPr>
        <w:t xml:space="preserve">when </w:t>
      </w:r>
      <w:r w:rsidR="00170499">
        <w:rPr>
          <w:rFonts w:ascii="Arial" w:hAnsi="Arial" w:cs="Arial"/>
          <w:sz w:val="22"/>
          <w:szCs w:val="22"/>
          <w:shd w:val="clear" w:color="auto" w:fill="FFFFFF"/>
        </w:rPr>
        <w:t xml:space="preserve">he or she </w:t>
      </w:r>
      <w:r w:rsidR="00322F91" w:rsidRPr="00322F91">
        <w:rPr>
          <w:rFonts w:ascii="Arial" w:hAnsi="Arial" w:cs="Arial"/>
          <w:sz w:val="22"/>
          <w:szCs w:val="22"/>
          <w:shd w:val="clear" w:color="auto" w:fill="FFFFFF"/>
        </w:rPr>
        <w:t xml:space="preserve">acquires </w:t>
      </w:r>
      <w:r w:rsidR="00170499">
        <w:rPr>
          <w:rFonts w:ascii="Arial" w:hAnsi="Arial" w:cs="Arial"/>
          <w:sz w:val="22"/>
          <w:szCs w:val="22"/>
          <w:shd w:val="clear" w:color="auto" w:fill="FFFFFF"/>
        </w:rPr>
        <w:t xml:space="preserve">their </w:t>
      </w:r>
      <w:r w:rsidR="00322F91" w:rsidRPr="00322F91">
        <w:rPr>
          <w:rFonts w:ascii="Arial" w:hAnsi="Arial" w:cs="Arial"/>
          <w:sz w:val="22"/>
          <w:szCs w:val="22"/>
          <w:shd w:val="clear" w:color="auto" w:fill="FFFFFF"/>
        </w:rPr>
        <w:t>habitual residence in that non-Member State.</w:t>
      </w:r>
      <w:r w:rsidR="00E573A1">
        <w:rPr>
          <w:rFonts w:ascii="Arial" w:hAnsi="Arial" w:cs="Arial"/>
          <w:sz w:val="22"/>
          <w:szCs w:val="22"/>
          <w:shd w:val="clear" w:color="auto" w:fill="FFFFFF"/>
        </w:rPr>
        <w:t xml:space="preserve"> It is widely acknowledged that the CJEU follow the Advocate General’s reasoning </w:t>
      </w:r>
      <w:r w:rsidR="00114286">
        <w:rPr>
          <w:rFonts w:ascii="Arial" w:hAnsi="Arial" w:cs="Arial"/>
          <w:sz w:val="22"/>
          <w:szCs w:val="22"/>
          <w:shd w:val="clear" w:color="auto" w:fill="FFFFFF"/>
        </w:rPr>
        <w:t>i</w:t>
      </w:r>
      <w:r w:rsidR="00E573A1">
        <w:rPr>
          <w:rFonts w:ascii="Arial" w:hAnsi="Arial" w:cs="Arial"/>
          <w:sz w:val="22"/>
          <w:szCs w:val="22"/>
          <w:shd w:val="clear" w:color="auto" w:fill="FFFFFF"/>
        </w:rPr>
        <w:t xml:space="preserve">n approximately 70% of </w:t>
      </w:r>
      <w:r w:rsidR="00114286">
        <w:rPr>
          <w:rFonts w:ascii="Arial" w:hAnsi="Arial" w:cs="Arial"/>
          <w:sz w:val="22"/>
          <w:szCs w:val="22"/>
          <w:shd w:val="clear" w:color="auto" w:fill="FFFFFF"/>
        </w:rPr>
        <w:t>its rulings</w:t>
      </w:r>
      <w:r w:rsidR="00E573A1">
        <w:rPr>
          <w:rFonts w:ascii="Arial" w:hAnsi="Arial" w:cs="Arial"/>
          <w:sz w:val="22"/>
          <w:szCs w:val="22"/>
          <w:shd w:val="clear" w:color="auto" w:fill="FFFFFF"/>
        </w:rPr>
        <w:t>.</w:t>
      </w:r>
    </w:p>
    <w:p w14:paraId="66C92D56" w14:textId="6116ABDF" w:rsidR="001A5474" w:rsidRDefault="001A5474" w:rsidP="001A5474">
      <w:pPr>
        <w:rPr>
          <w:rFonts w:ascii="Arial" w:hAnsi="Arial" w:cs="Arial"/>
          <w:sz w:val="22"/>
          <w:szCs w:val="22"/>
          <w:shd w:val="clear" w:color="auto" w:fill="FFFFFF"/>
        </w:rPr>
      </w:pPr>
    </w:p>
    <w:p w14:paraId="37BF1FE8" w14:textId="445E618A" w:rsidR="00E573A1" w:rsidRDefault="00E573A1" w:rsidP="00E573A1">
      <w:pPr>
        <w:rPr>
          <w:rFonts w:ascii="Arial" w:hAnsi="Arial" w:cs="Arial"/>
          <w:sz w:val="22"/>
          <w:szCs w:val="22"/>
          <w:shd w:val="clear" w:color="auto" w:fill="FFFFFF"/>
        </w:rPr>
      </w:pPr>
      <w:r>
        <w:rPr>
          <w:rFonts w:ascii="Arial" w:hAnsi="Arial" w:cs="Arial"/>
          <w:sz w:val="22"/>
          <w:szCs w:val="22"/>
          <w:shd w:val="clear" w:color="auto" w:fill="FFFFFF"/>
        </w:rPr>
        <w:t>Nonetheless, the CJEU elected to take the</w:t>
      </w:r>
      <w:r w:rsidR="00170499">
        <w:rPr>
          <w:rFonts w:ascii="Arial" w:hAnsi="Arial" w:cs="Arial"/>
          <w:sz w:val="22"/>
          <w:szCs w:val="22"/>
          <w:shd w:val="clear" w:color="auto" w:fill="FFFFFF"/>
        </w:rPr>
        <w:t xml:space="preserve"> comparatively rare </w:t>
      </w:r>
      <w:r w:rsidR="00986CF4">
        <w:rPr>
          <w:rFonts w:ascii="Arial" w:hAnsi="Arial" w:cs="Arial"/>
          <w:sz w:val="22"/>
          <w:szCs w:val="22"/>
          <w:shd w:val="clear" w:color="auto" w:fill="FFFFFF"/>
        </w:rPr>
        <w:t xml:space="preserve">decision to depart from the Advocate General’s </w:t>
      </w:r>
      <w:r w:rsidR="00170499">
        <w:rPr>
          <w:rFonts w:ascii="Arial" w:hAnsi="Arial" w:cs="Arial"/>
          <w:sz w:val="22"/>
          <w:szCs w:val="22"/>
          <w:shd w:val="clear" w:color="auto" w:fill="FFFFFF"/>
        </w:rPr>
        <w:t>o</w:t>
      </w:r>
      <w:r w:rsidR="00114286">
        <w:rPr>
          <w:rFonts w:ascii="Arial" w:hAnsi="Arial" w:cs="Arial"/>
          <w:sz w:val="22"/>
          <w:szCs w:val="22"/>
          <w:shd w:val="clear" w:color="auto" w:fill="FFFFFF"/>
        </w:rPr>
        <w:t>pinion,</w:t>
      </w:r>
      <w:r w:rsidR="00986CF4">
        <w:rPr>
          <w:rFonts w:ascii="Arial" w:hAnsi="Arial" w:cs="Arial"/>
          <w:sz w:val="22"/>
          <w:szCs w:val="22"/>
          <w:shd w:val="clear" w:color="auto" w:fill="FFFFFF"/>
        </w:rPr>
        <w:t xml:space="preserve"> </w:t>
      </w:r>
      <w:r>
        <w:rPr>
          <w:rFonts w:ascii="Arial" w:hAnsi="Arial" w:cs="Arial"/>
          <w:sz w:val="22"/>
          <w:szCs w:val="22"/>
          <w:shd w:val="clear" w:color="auto" w:fill="FFFFFF"/>
        </w:rPr>
        <w:t xml:space="preserve">ruling that in relation to an application concerning parental responsibility, Article 10 of Brussels IIa would </w:t>
      </w:r>
      <w:r w:rsidRPr="00170499">
        <w:rPr>
          <w:rFonts w:ascii="Arial" w:hAnsi="Arial" w:cs="Arial"/>
          <w:i/>
          <w:iCs/>
          <w:sz w:val="22"/>
          <w:szCs w:val="22"/>
          <w:shd w:val="clear" w:color="auto" w:fill="FFFFFF"/>
        </w:rPr>
        <w:t>not</w:t>
      </w:r>
      <w:r>
        <w:rPr>
          <w:rFonts w:ascii="Arial" w:hAnsi="Arial" w:cs="Arial"/>
          <w:sz w:val="22"/>
          <w:szCs w:val="22"/>
          <w:shd w:val="clear" w:color="auto" w:fill="FFFFFF"/>
        </w:rPr>
        <w:t xml:space="preserve"> apply to a child who had acquired habitual residency in a third State following </w:t>
      </w:r>
      <w:r w:rsidR="00114286">
        <w:rPr>
          <w:rFonts w:ascii="Arial" w:hAnsi="Arial" w:cs="Arial"/>
          <w:sz w:val="22"/>
          <w:szCs w:val="22"/>
          <w:shd w:val="clear" w:color="auto" w:fill="FFFFFF"/>
        </w:rPr>
        <w:t xml:space="preserve">their </w:t>
      </w:r>
      <w:r>
        <w:rPr>
          <w:rFonts w:ascii="Arial" w:hAnsi="Arial" w:cs="Arial"/>
          <w:sz w:val="22"/>
          <w:szCs w:val="22"/>
          <w:shd w:val="clear" w:color="auto" w:fill="FFFFFF"/>
        </w:rPr>
        <w:t xml:space="preserve">abduction to </w:t>
      </w:r>
      <w:r w:rsidR="00114286">
        <w:rPr>
          <w:rFonts w:ascii="Arial" w:hAnsi="Arial" w:cs="Arial"/>
          <w:sz w:val="22"/>
          <w:szCs w:val="22"/>
          <w:shd w:val="clear" w:color="auto" w:fill="FFFFFF"/>
        </w:rPr>
        <w:t>that State;</w:t>
      </w:r>
      <w:r>
        <w:rPr>
          <w:rFonts w:ascii="Arial" w:hAnsi="Arial" w:cs="Arial"/>
          <w:sz w:val="22"/>
          <w:szCs w:val="22"/>
          <w:shd w:val="clear" w:color="auto" w:fill="FFFFFF"/>
        </w:rPr>
        <w:t xml:space="preserve"> </w:t>
      </w:r>
      <w:r w:rsidR="00114286">
        <w:rPr>
          <w:rFonts w:ascii="Arial" w:hAnsi="Arial" w:cs="Arial"/>
          <w:sz w:val="22"/>
          <w:szCs w:val="22"/>
          <w:shd w:val="clear" w:color="auto" w:fill="FFFFFF"/>
        </w:rPr>
        <w:t xml:space="preserve">Article 10 </w:t>
      </w:r>
      <w:r>
        <w:rPr>
          <w:rFonts w:ascii="Arial" w:hAnsi="Arial" w:cs="Arial"/>
          <w:sz w:val="22"/>
          <w:szCs w:val="22"/>
          <w:shd w:val="clear" w:color="auto" w:fill="FFFFFF"/>
        </w:rPr>
        <w:t>only being applicable between Member States. International Conventions, or in their absence, the laws of the individual State, would instead take precedence.</w:t>
      </w:r>
      <w:r w:rsidR="00986CF4">
        <w:rPr>
          <w:rFonts w:ascii="Arial" w:hAnsi="Arial" w:cs="Arial"/>
          <w:sz w:val="22"/>
          <w:szCs w:val="22"/>
          <w:shd w:val="clear" w:color="auto" w:fill="FFFFFF"/>
        </w:rPr>
        <w:t xml:space="preserve"> In </w:t>
      </w:r>
      <w:r w:rsidR="00170499">
        <w:rPr>
          <w:rFonts w:ascii="Arial" w:hAnsi="Arial" w:cs="Arial"/>
          <w:sz w:val="22"/>
          <w:szCs w:val="22"/>
          <w:shd w:val="clear" w:color="auto" w:fill="FFFFFF"/>
        </w:rPr>
        <w:t>summary</w:t>
      </w:r>
      <w:r w:rsidR="00986CF4">
        <w:rPr>
          <w:rFonts w:ascii="Arial" w:hAnsi="Arial" w:cs="Arial"/>
          <w:sz w:val="22"/>
          <w:szCs w:val="22"/>
          <w:shd w:val="clear" w:color="auto" w:fill="FFFFFF"/>
        </w:rPr>
        <w:t xml:space="preserve">, the </w:t>
      </w:r>
      <w:r w:rsidR="00170499">
        <w:rPr>
          <w:rFonts w:ascii="Arial" w:hAnsi="Arial" w:cs="Arial"/>
          <w:sz w:val="22"/>
          <w:szCs w:val="22"/>
          <w:shd w:val="clear" w:color="auto" w:fill="FFFFFF"/>
        </w:rPr>
        <w:t>C</w:t>
      </w:r>
      <w:r w:rsidR="00986CF4">
        <w:rPr>
          <w:rFonts w:ascii="Arial" w:hAnsi="Arial" w:cs="Arial"/>
          <w:sz w:val="22"/>
          <w:szCs w:val="22"/>
          <w:shd w:val="clear" w:color="auto" w:fill="FFFFFF"/>
        </w:rPr>
        <w:t>ourt</w:t>
      </w:r>
      <w:r w:rsidR="00170499">
        <w:rPr>
          <w:rFonts w:ascii="Arial" w:hAnsi="Arial" w:cs="Arial"/>
          <w:sz w:val="22"/>
          <w:szCs w:val="22"/>
          <w:shd w:val="clear" w:color="auto" w:fill="FFFFFF"/>
        </w:rPr>
        <w:t xml:space="preserve"> determined</w:t>
      </w:r>
      <w:r w:rsidR="00986CF4">
        <w:rPr>
          <w:rFonts w:ascii="Arial" w:hAnsi="Arial" w:cs="Arial"/>
          <w:sz w:val="22"/>
          <w:szCs w:val="22"/>
          <w:shd w:val="clear" w:color="auto" w:fill="FFFFFF"/>
        </w:rPr>
        <w:t>:</w:t>
      </w:r>
    </w:p>
    <w:p w14:paraId="6075C2E4" w14:textId="20C29081" w:rsidR="00986CF4" w:rsidRDefault="00986CF4" w:rsidP="00E573A1">
      <w:pPr>
        <w:rPr>
          <w:rFonts w:ascii="Arial" w:hAnsi="Arial" w:cs="Arial"/>
          <w:sz w:val="22"/>
          <w:szCs w:val="22"/>
          <w:shd w:val="clear" w:color="auto" w:fill="FFFFFF"/>
        </w:rPr>
      </w:pPr>
    </w:p>
    <w:p w14:paraId="35FD36DD" w14:textId="292D2CA2" w:rsidR="00986CF4" w:rsidRDefault="00986CF4" w:rsidP="00986CF4">
      <w:pPr>
        <w:pStyle w:val="ListParagraph"/>
        <w:numPr>
          <w:ilvl w:val="0"/>
          <w:numId w:val="1"/>
        </w:numPr>
        <w:rPr>
          <w:rFonts w:ascii="Arial" w:eastAsia="Times New Roman" w:hAnsi="Arial" w:cs="Arial"/>
          <w:sz w:val="22"/>
          <w:szCs w:val="22"/>
          <w:lang w:eastAsia="en-GB"/>
        </w:rPr>
      </w:pPr>
      <w:r>
        <w:rPr>
          <w:rFonts w:ascii="Arial" w:eastAsia="Times New Roman" w:hAnsi="Arial" w:cs="Arial"/>
          <w:sz w:val="22"/>
          <w:szCs w:val="22"/>
          <w:lang w:eastAsia="en-GB"/>
        </w:rPr>
        <w:t xml:space="preserve">The wording of Article 10, when placed in its context together with its objectives, demonstrates that the article deals </w:t>
      </w:r>
      <w:r w:rsidRPr="00170499">
        <w:rPr>
          <w:rFonts w:ascii="Arial" w:eastAsia="Times New Roman" w:hAnsi="Arial" w:cs="Arial"/>
          <w:i/>
          <w:iCs/>
          <w:sz w:val="22"/>
          <w:szCs w:val="22"/>
          <w:lang w:eastAsia="en-GB"/>
        </w:rPr>
        <w:t>solely</w:t>
      </w:r>
      <w:r>
        <w:rPr>
          <w:rFonts w:ascii="Arial" w:eastAsia="Times New Roman" w:hAnsi="Arial" w:cs="Arial"/>
          <w:sz w:val="22"/>
          <w:szCs w:val="22"/>
          <w:lang w:eastAsia="en-GB"/>
        </w:rPr>
        <w:t xml:space="preserve"> with </w:t>
      </w:r>
      <w:r w:rsidR="00667C9A">
        <w:rPr>
          <w:rFonts w:ascii="Arial" w:eastAsia="Times New Roman" w:hAnsi="Arial" w:cs="Arial"/>
          <w:sz w:val="22"/>
          <w:szCs w:val="22"/>
          <w:lang w:eastAsia="en-GB"/>
        </w:rPr>
        <w:t>jurisdiction</w:t>
      </w:r>
      <w:r>
        <w:rPr>
          <w:rFonts w:ascii="Arial" w:eastAsia="Times New Roman" w:hAnsi="Arial" w:cs="Arial"/>
          <w:sz w:val="22"/>
          <w:szCs w:val="22"/>
          <w:lang w:eastAsia="en-GB"/>
        </w:rPr>
        <w:t xml:space="preserve"> in cases of child abduction fr</w:t>
      </w:r>
      <w:r w:rsidR="004742A4">
        <w:rPr>
          <w:rFonts w:ascii="Arial" w:eastAsia="Times New Roman" w:hAnsi="Arial" w:cs="Arial"/>
          <w:sz w:val="22"/>
          <w:szCs w:val="22"/>
          <w:lang w:eastAsia="en-GB"/>
        </w:rPr>
        <w:t>o</w:t>
      </w:r>
      <w:r>
        <w:rPr>
          <w:rFonts w:ascii="Arial" w:eastAsia="Times New Roman" w:hAnsi="Arial" w:cs="Arial"/>
          <w:sz w:val="22"/>
          <w:szCs w:val="22"/>
          <w:lang w:eastAsia="en-GB"/>
        </w:rPr>
        <w:t xml:space="preserve">m </w:t>
      </w:r>
      <w:r w:rsidRPr="00170499">
        <w:rPr>
          <w:rFonts w:ascii="Arial" w:eastAsia="Times New Roman" w:hAnsi="Arial" w:cs="Arial"/>
          <w:i/>
          <w:iCs/>
          <w:sz w:val="22"/>
          <w:szCs w:val="22"/>
          <w:lang w:eastAsia="en-GB"/>
        </w:rPr>
        <w:t>one Member State to another</w:t>
      </w:r>
      <w:r w:rsidR="00170499">
        <w:rPr>
          <w:rFonts w:ascii="Arial" w:eastAsia="Times New Roman" w:hAnsi="Arial" w:cs="Arial"/>
          <w:sz w:val="22"/>
          <w:szCs w:val="22"/>
          <w:lang w:eastAsia="en-GB"/>
        </w:rPr>
        <w:t>;</w:t>
      </w:r>
    </w:p>
    <w:p w14:paraId="6E86A27B" w14:textId="77777777" w:rsidR="00667C9A" w:rsidRDefault="00667C9A" w:rsidP="00667C9A">
      <w:pPr>
        <w:pStyle w:val="ListParagraph"/>
        <w:rPr>
          <w:rFonts w:ascii="Arial" w:eastAsia="Times New Roman" w:hAnsi="Arial" w:cs="Arial"/>
          <w:sz w:val="22"/>
          <w:szCs w:val="22"/>
          <w:lang w:eastAsia="en-GB"/>
        </w:rPr>
      </w:pPr>
    </w:p>
    <w:p w14:paraId="632E5903" w14:textId="7A80192E" w:rsidR="00986CF4" w:rsidRDefault="00667C9A" w:rsidP="00986CF4">
      <w:pPr>
        <w:pStyle w:val="ListParagraph"/>
        <w:numPr>
          <w:ilvl w:val="0"/>
          <w:numId w:val="1"/>
        </w:numPr>
        <w:rPr>
          <w:rFonts w:ascii="Arial" w:eastAsia="Times New Roman" w:hAnsi="Arial" w:cs="Arial"/>
          <w:sz w:val="22"/>
          <w:szCs w:val="22"/>
          <w:lang w:eastAsia="en-GB"/>
        </w:rPr>
      </w:pPr>
      <w:r>
        <w:rPr>
          <w:rFonts w:ascii="Arial" w:eastAsia="Times New Roman" w:hAnsi="Arial" w:cs="Arial"/>
          <w:sz w:val="22"/>
          <w:szCs w:val="22"/>
          <w:lang w:eastAsia="en-GB"/>
        </w:rPr>
        <w:t xml:space="preserve">Article 10 does </w:t>
      </w:r>
      <w:r w:rsidRPr="00170499">
        <w:rPr>
          <w:rFonts w:ascii="Arial" w:eastAsia="Times New Roman" w:hAnsi="Arial" w:cs="Arial"/>
          <w:i/>
          <w:iCs/>
          <w:sz w:val="22"/>
          <w:szCs w:val="22"/>
          <w:lang w:eastAsia="en-GB"/>
        </w:rPr>
        <w:t xml:space="preserve">not </w:t>
      </w:r>
      <w:r>
        <w:rPr>
          <w:rFonts w:ascii="Arial" w:eastAsia="Times New Roman" w:hAnsi="Arial" w:cs="Arial"/>
          <w:sz w:val="22"/>
          <w:szCs w:val="22"/>
          <w:lang w:eastAsia="en-GB"/>
        </w:rPr>
        <w:t>justify indefinite retention of jurisdiction by the courts of the Member State where the child was habitually resident prior to their abduction, having subsequently obtained habitual residence in a third State</w:t>
      </w:r>
      <w:r w:rsidR="00170499">
        <w:rPr>
          <w:rFonts w:ascii="Arial" w:eastAsia="Times New Roman" w:hAnsi="Arial" w:cs="Arial"/>
          <w:sz w:val="22"/>
          <w:szCs w:val="22"/>
          <w:lang w:eastAsia="en-GB"/>
        </w:rPr>
        <w:t>;</w:t>
      </w:r>
    </w:p>
    <w:p w14:paraId="01476CD6" w14:textId="77777777" w:rsidR="00667C9A" w:rsidRPr="00667C9A" w:rsidRDefault="00667C9A" w:rsidP="00667C9A">
      <w:pPr>
        <w:pStyle w:val="ListParagraph"/>
        <w:rPr>
          <w:rFonts w:ascii="Arial" w:eastAsia="Times New Roman" w:hAnsi="Arial" w:cs="Arial"/>
          <w:sz w:val="22"/>
          <w:szCs w:val="22"/>
          <w:lang w:eastAsia="en-GB"/>
        </w:rPr>
      </w:pPr>
    </w:p>
    <w:p w14:paraId="507A5CD0" w14:textId="4B05B1E1" w:rsidR="00667C9A" w:rsidRDefault="00667C9A" w:rsidP="00986CF4">
      <w:pPr>
        <w:pStyle w:val="ListParagraph"/>
        <w:numPr>
          <w:ilvl w:val="0"/>
          <w:numId w:val="1"/>
        </w:numPr>
        <w:rPr>
          <w:rFonts w:ascii="Arial" w:eastAsia="Times New Roman" w:hAnsi="Arial" w:cs="Arial"/>
          <w:sz w:val="22"/>
          <w:szCs w:val="22"/>
          <w:lang w:eastAsia="en-GB"/>
        </w:rPr>
      </w:pPr>
      <w:r>
        <w:rPr>
          <w:rFonts w:ascii="Arial" w:eastAsia="Times New Roman" w:hAnsi="Arial" w:cs="Arial"/>
          <w:sz w:val="22"/>
          <w:szCs w:val="22"/>
          <w:lang w:eastAsia="en-GB"/>
        </w:rPr>
        <w:t xml:space="preserve">The special rules of jurisdiction stated within Article 10 must be interpreted </w:t>
      </w:r>
      <w:r w:rsidRPr="00170499">
        <w:rPr>
          <w:rFonts w:ascii="Arial" w:eastAsia="Times New Roman" w:hAnsi="Arial" w:cs="Arial"/>
          <w:i/>
          <w:iCs/>
          <w:sz w:val="22"/>
          <w:szCs w:val="22"/>
          <w:lang w:eastAsia="en-GB"/>
        </w:rPr>
        <w:t>restrictively</w:t>
      </w:r>
      <w:r>
        <w:rPr>
          <w:rFonts w:ascii="Arial" w:eastAsia="Times New Roman" w:hAnsi="Arial" w:cs="Arial"/>
          <w:sz w:val="22"/>
          <w:szCs w:val="22"/>
          <w:lang w:eastAsia="en-GB"/>
        </w:rPr>
        <w:t xml:space="preserve"> and therefore should not be extended beyond the situations expressly envisaged and intended by the EU legislature</w:t>
      </w:r>
      <w:r w:rsidR="00170499">
        <w:rPr>
          <w:rFonts w:ascii="Arial" w:eastAsia="Times New Roman" w:hAnsi="Arial" w:cs="Arial"/>
          <w:sz w:val="22"/>
          <w:szCs w:val="22"/>
          <w:lang w:eastAsia="en-GB"/>
        </w:rPr>
        <w:t>;</w:t>
      </w:r>
    </w:p>
    <w:p w14:paraId="39E78E8A" w14:textId="77777777" w:rsidR="00667C9A" w:rsidRPr="00667C9A" w:rsidRDefault="00667C9A" w:rsidP="00667C9A">
      <w:pPr>
        <w:pStyle w:val="ListParagraph"/>
        <w:rPr>
          <w:rFonts w:ascii="Arial" w:eastAsia="Times New Roman" w:hAnsi="Arial" w:cs="Arial"/>
          <w:sz w:val="22"/>
          <w:szCs w:val="22"/>
          <w:lang w:eastAsia="en-GB"/>
        </w:rPr>
      </w:pPr>
    </w:p>
    <w:p w14:paraId="1354DE79" w14:textId="0DF80E1B" w:rsidR="00667C9A" w:rsidRDefault="00667C9A" w:rsidP="00986CF4">
      <w:pPr>
        <w:pStyle w:val="ListParagraph"/>
        <w:numPr>
          <w:ilvl w:val="0"/>
          <w:numId w:val="1"/>
        </w:numPr>
        <w:rPr>
          <w:rFonts w:ascii="Arial" w:eastAsia="Times New Roman" w:hAnsi="Arial" w:cs="Arial"/>
          <w:sz w:val="22"/>
          <w:szCs w:val="22"/>
          <w:lang w:eastAsia="en-GB"/>
        </w:rPr>
      </w:pPr>
      <w:r>
        <w:rPr>
          <w:rFonts w:ascii="Arial" w:eastAsia="Times New Roman" w:hAnsi="Arial" w:cs="Arial"/>
          <w:sz w:val="22"/>
          <w:szCs w:val="22"/>
          <w:lang w:eastAsia="en-GB"/>
        </w:rPr>
        <w:t xml:space="preserve">The EU legislature intended </w:t>
      </w:r>
      <w:r w:rsidR="000E1B53">
        <w:rPr>
          <w:rFonts w:ascii="Arial" w:eastAsia="Times New Roman" w:hAnsi="Arial" w:cs="Arial"/>
          <w:sz w:val="22"/>
          <w:szCs w:val="22"/>
          <w:lang w:eastAsia="en-GB"/>
        </w:rPr>
        <w:t xml:space="preserve">child abduction rules in Brussels IIa </w:t>
      </w:r>
      <w:r>
        <w:rPr>
          <w:rFonts w:ascii="Arial" w:eastAsia="Times New Roman" w:hAnsi="Arial" w:cs="Arial"/>
          <w:sz w:val="22"/>
          <w:szCs w:val="22"/>
          <w:lang w:eastAsia="en-GB"/>
        </w:rPr>
        <w:t>to be restricted to situations between Member States</w:t>
      </w:r>
      <w:r w:rsidR="000E1B53">
        <w:rPr>
          <w:rFonts w:ascii="Arial" w:eastAsia="Times New Roman" w:hAnsi="Arial" w:cs="Arial"/>
          <w:sz w:val="22"/>
          <w:szCs w:val="22"/>
          <w:lang w:eastAsia="en-GB"/>
        </w:rPr>
        <w:t>, whilst coexisting and operating alongside the 1980 and 1996 Hague Conventions. Were Article 10 to permit the courts of the Member State to retain indefinite jurisdiction, the international conventions would be deprived of any effect</w:t>
      </w:r>
      <w:r w:rsidR="004742A4">
        <w:rPr>
          <w:rFonts w:ascii="Arial" w:eastAsia="Times New Roman" w:hAnsi="Arial" w:cs="Arial"/>
          <w:sz w:val="22"/>
          <w:szCs w:val="22"/>
          <w:lang w:eastAsia="en-GB"/>
        </w:rPr>
        <w:t xml:space="preserve">. In addition, </w:t>
      </w:r>
      <w:r w:rsidR="000E1B53">
        <w:rPr>
          <w:rFonts w:ascii="Arial" w:eastAsia="Times New Roman" w:hAnsi="Arial" w:cs="Arial"/>
          <w:sz w:val="22"/>
          <w:szCs w:val="22"/>
          <w:lang w:eastAsia="en-GB"/>
        </w:rPr>
        <w:t xml:space="preserve">Members States who ratified or acceded to the </w:t>
      </w:r>
      <w:r w:rsidR="004742A4">
        <w:rPr>
          <w:rFonts w:ascii="Arial" w:eastAsia="Times New Roman" w:hAnsi="Arial" w:cs="Arial"/>
          <w:sz w:val="22"/>
          <w:szCs w:val="22"/>
          <w:lang w:eastAsia="en-GB"/>
        </w:rPr>
        <w:lastRenderedPageBreak/>
        <w:t>C</w:t>
      </w:r>
      <w:r w:rsidR="000E1B53">
        <w:rPr>
          <w:rFonts w:ascii="Arial" w:eastAsia="Times New Roman" w:hAnsi="Arial" w:cs="Arial"/>
          <w:sz w:val="22"/>
          <w:szCs w:val="22"/>
          <w:lang w:eastAsia="en-GB"/>
        </w:rPr>
        <w:t>onventions would be forced to operate in a manner incompatible with their international obligations</w:t>
      </w:r>
      <w:r w:rsidR="00170499">
        <w:rPr>
          <w:rFonts w:ascii="Arial" w:eastAsia="Times New Roman" w:hAnsi="Arial" w:cs="Arial"/>
          <w:sz w:val="22"/>
          <w:szCs w:val="22"/>
          <w:lang w:eastAsia="en-GB"/>
        </w:rPr>
        <w:t>;</w:t>
      </w:r>
    </w:p>
    <w:p w14:paraId="773613A2" w14:textId="7434AC3C" w:rsidR="000E1B53" w:rsidRDefault="000E1B53" w:rsidP="000E1B53">
      <w:pPr>
        <w:pStyle w:val="ListParagraph"/>
        <w:rPr>
          <w:rFonts w:ascii="Arial" w:eastAsia="Times New Roman" w:hAnsi="Arial" w:cs="Arial"/>
          <w:sz w:val="22"/>
          <w:szCs w:val="22"/>
          <w:lang w:eastAsia="en-GB"/>
        </w:rPr>
      </w:pPr>
    </w:p>
    <w:p w14:paraId="23C07B5A" w14:textId="77777777" w:rsidR="00C42332" w:rsidRPr="000E1B53" w:rsidRDefault="00C42332" w:rsidP="000E1B53">
      <w:pPr>
        <w:pStyle w:val="ListParagraph"/>
        <w:rPr>
          <w:rFonts w:ascii="Arial" w:eastAsia="Times New Roman" w:hAnsi="Arial" w:cs="Arial"/>
          <w:sz w:val="22"/>
          <w:szCs w:val="22"/>
          <w:lang w:eastAsia="en-GB"/>
        </w:rPr>
      </w:pPr>
    </w:p>
    <w:p w14:paraId="724A5A33" w14:textId="79B136E7" w:rsidR="004742A4" w:rsidRDefault="000E1B53" w:rsidP="004742A4">
      <w:pPr>
        <w:pStyle w:val="ListParagraph"/>
        <w:numPr>
          <w:ilvl w:val="0"/>
          <w:numId w:val="1"/>
        </w:numPr>
        <w:rPr>
          <w:rFonts w:ascii="Arial" w:eastAsia="Times New Roman" w:hAnsi="Arial" w:cs="Arial"/>
          <w:sz w:val="22"/>
          <w:szCs w:val="22"/>
          <w:shd w:val="clear" w:color="auto" w:fill="FFFFFF"/>
          <w:lang w:eastAsia="en-GB"/>
        </w:rPr>
      </w:pPr>
      <w:r>
        <w:rPr>
          <w:rFonts w:ascii="Arial" w:eastAsia="Times New Roman" w:hAnsi="Arial" w:cs="Arial"/>
          <w:sz w:val="22"/>
          <w:szCs w:val="22"/>
          <w:lang w:eastAsia="en-GB"/>
        </w:rPr>
        <w:t xml:space="preserve">Were </w:t>
      </w:r>
      <w:r w:rsidRPr="000E1B53">
        <w:rPr>
          <w:rFonts w:ascii="Arial" w:eastAsia="Times New Roman" w:hAnsi="Arial" w:cs="Arial"/>
          <w:sz w:val="22"/>
          <w:szCs w:val="22"/>
          <w:lang w:eastAsia="en-GB"/>
        </w:rPr>
        <w:t xml:space="preserve">Article 10 </w:t>
      </w:r>
      <w:r>
        <w:rPr>
          <w:rFonts w:ascii="Arial" w:eastAsia="Times New Roman" w:hAnsi="Arial" w:cs="Arial"/>
          <w:sz w:val="22"/>
          <w:szCs w:val="22"/>
          <w:lang w:eastAsia="en-GB"/>
        </w:rPr>
        <w:t xml:space="preserve">to permit courts of a Member State to </w:t>
      </w:r>
      <w:r w:rsidRPr="000E1B53">
        <w:rPr>
          <w:rFonts w:ascii="Arial" w:eastAsia="Times New Roman" w:hAnsi="Arial" w:cs="Arial"/>
          <w:sz w:val="22"/>
          <w:szCs w:val="22"/>
          <w:lang w:eastAsia="en-GB"/>
        </w:rPr>
        <w:t>indefinite</w:t>
      </w:r>
      <w:r>
        <w:rPr>
          <w:rFonts w:ascii="Arial" w:eastAsia="Times New Roman" w:hAnsi="Arial" w:cs="Arial"/>
          <w:sz w:val="22"/>
          <w:szCs w:val="22"/>
          <w:lang w:eastAsia="en-GB"/>
        </w:rPr>
        <w:t>ly</w:t>
      </w:r>
      <w:r w:rsidRPr="000E1B53">
        <w:rPr>
          <w:rFonts w:ascii="Arial" w:eastAsia="Times New Roman" w:hAnsi="Arial" w:cs="Arial"/>
          <w:sz w:val="22"/>
          <w:szCs w:val="22"/>
          <w:lang w:eastAsia="en-GB"/>
        </w:rPr>
        <w:t xml:space="preserve"> </w:t>
      </w:r>
      <w:r>
        <w:rPr>
          <w:rFonts w:ascii="Arial" w:eastAsia="Times New Roman" w:hAnsi="Arial" w:cs="Arial"/>
          <w:sz w:val="22"/>
          <w:szCs w:val="22"/>
          <w:lang w:eastAsia="en-GB"/>
        </w:rPr>
        <w:t xml:space="preserve">retain </w:t>
      </w:r>
      <w:r w:rsidRPr="000E1B53">
        <w:rPr>
          <w:rFonts w:ascii="Arial" w:eastAsia="Times New Roman" w:hAnsi="Arial" w:cs="Arial"/>
          <w:sz w:val="22"/>
          <w:szCs w:val="22"/>
          <w:lang w:eastAsia="en-GB"/>
        </w:rPr>
        <w:t>jurisdiction</w:t>
      </w:r>
      <w:r>
        <w:rPr>
          <w:rFonts w:ascii="Arial" w:eastAsia="Times New Roman" w:hAnsi="Arial" w:cs="Arial"/>
          <w:sz w:val="22"/>
          <w:szCs w:val="22"/>
          <w:lang w:eastAsia="en-GB"/>
        </w:rPr>
        <w:t xml:space="preserve">, this would render </w:t>
      </w:r>
      <w:r w:rsidR="004742A4">
        <w:rPr>
          <w:rFonts w:ascii="Arial" w:eastAsia="Times New Roman" w:hAnsi="Arial" w:cs="Arial"/>
          <w:sz w:val="22"/>
          <w:szCs w:val="22"/>
          <w:lang w:eastAsia="en-GB"/>
        </w:rPr>
        <w:t xml:space="preserve">the article </w:t>
      </w:r>
      <w:r>
        <w:rPr>
          <w:rFonts w:ascii="Arial" w:eastAsia="Times New Roman" w:hAnsi="Arial" w:cs="Arial"/>
          <w:sz w:val="22"/>
          <w:szCs w:val="22"/>
          <w:lang w:eastAsia="en-GB"/>
        </w:rPr>
        <w:t>in</w:t>
      </w:r>
      <w:r w:rsidRPr="000E1B53">
        <w:rPr>
          <w:rFonts w:ascii="Arial" w:eastAsia="Times New Roman" w:hAnsi="Arial" w:cs="Arial"/>
          <w:sz w:val="22"/>
          <w:szCs w:val="22"/>
          <w:lang w:eastAsia="en-GB"/>
        </w:rPr>
        <w:t xml:space="preserve">compatible with one of the fundamental objectives pursued by that regulation, namely that of </w:t>
      </w:r>
      <w:r w:rsidRPr="00170499">
        <w:rPr>
          <w:rFonts w:ascii="Arial" w:eastAsia="Times New Roman" w:hAnsi="Arial" w:cs="Arial"/>
          <w:i/>
          <w:iCs/>
          <w:sz w:val="22"/>
          <w:szCs w:val="22"/>
          <w:lang w:eastAsia="en-GB"/>
        </w:rPr>
        <w:t>respecting the best interests of the child</w:t>
      </w:r>
      <w:r w:rsidRPr="000E1B53">
        <w:rPr>
          <w:rFonts w:ascii="Arial" w:eastAsia="Times New Roman" w:hAnsi="Arial" w:cs="Arial"/>
          <w:sz w:val="22"/>
          <w:szCs w:val="22"/>
          <w:lang w:eastAsia="en-GB"/>
        </w:rPr>
        <w:t>, by giving priority</w:t>
      </w:r>
      <w:r>
        <w:rPr>
          <w:rFonts w:ascii="Arial" w:eastAsia="Times New Roman" w:hAnsi="Arial" w:cs="Arial"/>
          <w:sz w:val="22"/>
          <w:szCs w:val="22"/>
          <w:lang w:eastAsia="en-GB"/>
        </w:rPr>
        <w:t xml:space="preserve"> </w:t>
      </w:r>
      <w:r w:rsidRPr="000E1B53">
        <w:rPr>
          <w:rFonts w:ascii="Arial" w:eastAsia="Times New Roman" w:hAnsi="Arial" w:cs="Arial"/>
          <w:sz w:val="22"/>
          <w:szCs w:val="22"/>
          <w:lang w:eastAsia="en-GB"/>
        </w:rPr>
        <w:t xml:space="preserve">to </w:t>
      </w:r>
      <w:r>
        <w:rPr>
          <w:rFonts w:ascii="Arial" w:eastAsia="Times New Roman" w:hAnsi="Arial" w:cs="Arial"/>
          <w:sz w:val="22"/>
          <w:szCs w:val="22"/>
          <w:lang w:eastAsia="en-GB"/>
        </w:rPr>
        <w:t xml:space="preserve">courts most </w:t>
      </w:r>
      <w:r w:rsidRPr="000E1B53">
        <w:rPr>
          <w:rFonts w:ascii="Arial" w:eastAsia="Times New Roman" w:hAnsi="Arial" w:cs="Arial"/>
          <w:sz w:val="22"/>
          <w:szCs w:val="22"/>
          <w:lang w:eastAsia="en-GB"/>
        </w:rPr>
        <w:t>proxim</w:t>
      </w:r>
      <w:r>
        <w:rPr>
          <w:rFonts w:ascii="Arial" w:eastAsia="Times New Roman" w:hAnsi="Arial" w:cs="Arial"/>
          <w:sz w:val="22"/>
          <w:szCs w:val="22"/>
          <w:lang w:eastAsia="en-GB"/>
        </w:rPr>
        <w:t xml:space="preserve">ate to the </w:t>
      </w:r>
      <w:r w:rsidR="004742A4">
        <w:rPr>
          <w:rFonts w:ascii="Arial" w:eastAsia="Times New Roman" w:hAnsi="Arial" w:cs="Arial"/>
          <w:sz w:val="22"/>
          <w:szCs w:val="22"/>
          <w:lang w:eastAsia="en-GB"/>
        </w:rPr>
        <w:t>S</w:t>
      </w:r>
      <w:r>
        <w:rPr>
          <w:rFonts w:ascii="Arial" w:eastAsia="Times New Roman" w:hAnsi="Arial" w:cs="Arial"/>
          <w:sz w:val="22"/>
          <w:szCs w:val="22"/>
          <w:lang w:eastAsia="en-GB"/>
        </w:rPr>
        <w:t xml:space="preserve">tate in which the child has habitual </w:t>
      </w:r>
      <w:r w:rsidRPr="004742A4">
        <w:rPr>
          <w:rFonts w:ascii="Arial" w:eastAsia="Times New Roman" w:hAnsi="Arial" w:cs="Arial"/>
          <w:sz w:val="22"/>
          <w:szCs w:val="22"/>
          <w:shd w:val="clear" w:color="auto" w:fill="FFFFFF"/>
          <w:lang w:eastAsia="en-GB"/>
        </w:rPr>
        <w:t>residence</w:t>
      </w:r>
      <w:r w:rsidR="00170499">
        <w:rPr>
          <w:rFonts w:ascii="Arial" w:eastAsia="Times New Roman" w:hAnsi="Arial" w:cs="Arial"/>
          <w:sz w:val="22"/>
          <w:szCs w:val="22"/>
          <w:shd w:val="clear" w:color="auto" w:fill="FFFFFF"/>
          <w:lang w:eastAsia="en-GB"/>
        </w:rPr>
        <w:t>;</w:t>
      </w:r>
    </w:p>
    <w:p w14:paraId="29735C5A" w14:textId="77777777" w:rsidR="004742A4" w:rsidRPr="004742A4" w:rsidRDefault="004742A4" w:rsidP="004742A4">
      <w:pPr>
        <w:pStyle w:val="ListParagraph"/>
        <w:rPr>
          <w:rFonts w:ascii="Arial" w:eastAsia="Times New Roman" w:hAnsi="Arial" w:cs="Arial"/>
          <w:sz w:val="22"/>
          <w:szCs w:val="22"/>
          <w:shd w:val="clear" w:color="auto" w:fill="FFFFFF"/>
          <w:lang w:eastAsia="en-GB"/>
        </w:rPr>
      </w:pPr>
    </w:p>
    <w:p w14:paraId="59779E51" w14:textId="548E4DC5" w:rsidR="004742A4" w:rsidRPr="004742A4" w:rsidRDefault="004742A4" w:rsidP="004742A4">
      <w:pPr>
        <w:pStyle w:val="ListParagraph"/>
        <w:numPr>
          <w:ilvl w:val="0"/>
          <w:numId w:val="1"/>
        </w:numPr>
        <w:rPr>
          <w:rFonts w:ascii="Arial" w:eastAsia="Times New Roman" w:hAnsi="Arial" w:cs="Arial"/>
          <w:sz w:val="22"/>
          <w:szCs w:val="22"/>
          <w:shd w:val="clear" w:color="auto" w:fill="FFFFFF"/>
          <w:lang w:eastAsia="en-GB"/>
        </w:rPr>
      </w:pPr>
      <w:r w:rsidRPr="004742A4">
        <w:rPr>
          <w:rFonts w:ascii="Arial" w:eastAsia="Times New Roman" w:hAnsi="Arial" w:cs="Arial"/>
          <w:sz w:val="22"/>
          <w:szCs w:val="22"/>
          <w:shd w:val="clear" w:color="auto" w:fill="FFFFFF"/>
          <w:lang w:eastAsia="en-GB"/>
        </w:rPr>
        <w:t xml:space="preserve">When a child has acquired habitual residency in a third State following their abduction to that State, </w:t>
      </w:r>
      <w:r w:rsidRPr="004742A4">
        <w:rPr>
          <w:rFonts w:ascii="Arial" w:hAnsi="Arial" w:cs="Arial"/>
          <w:sz w:val="22"/>
          <w:szCs w:val="22"/>
          <w:shd w:val="clear" w:color="auto" w:fill="FFFFFF"/>
        </w:rPr>
        <w:t xml:space="preserve">the jurisdiction of the court seised will be determined in accordance with the </w:t>
      </w:r>
      <w:r w:rsidRPr="00170499">
        <w:rPr>
          <w:rFonts w:ascii="Arial" w:hAnsi="Arial" w:cs="Arial"/>
          <w:i/>
          <w:iCs/>
          <w:sz w:val="22"/>
          <w:szCs w:val="22"/>
          <w:shd w:val="clear" w:color="auto" w:fill="FFFFFF"/>
        </w:rPr>
        <w:t>applicable international conventions</w:t>
      </w:r>
      <w:r w:rsidRPr="004742A4">
        <w:rPr>
          <w:rFonts w:ascii="Arial" w:hAnsi="Arial" w:cs="Arial"/>
          <w:sz w:val="22"/>
          <w:szCs w:val="22"/>
          <w:shd w:val="clear" w:color="auto" w:fill="FFFFFF"/>
        </w:rPr>
        <w:t xml:space="preserve">, or, in the absence of any such international convention, in accordance with Article 14 of Brussels IIa namely, the </w:t>
      </w:r>
      <w:r w:rsidRPr="00170499">
        <w:rPr>
          <w:rFonts w:ascii="Arial" w:hAnsi="Arial" w:cs="Arial"/>
          <w:i/>
          <w:iCs/>
          <w:sz w:val="22"/>
          <w:szCs w:val="22"/>
          <w:shd w:val="clear" w:color="auto" w:fill="FFFFFF"/>
        </w:rPr>
        <w:t>domestic laws of the Member State</w:t>
      </w:r>
      <w:r w:rsidRPr="004742A4">
        <w:rPr>
          <w:rFonts w:ascii="Arial" w:hAnsi="Arial" w:cs="Arial"/>
          <w:sz w:val="22"/>
          <w:szCs w:val="22"/>
          <w:shd w:val="clear" w:color="auto" w:fill="FFFFFF"/>
        </w:rPr>
        <w:t>.</w:t>
      </w:r>
    </w:p>
    <w:p w14:paraId="7F86F370" w14:textId="589368AC" w:rsidR="000E1B53" w:rsidRDefault="000E1B53" w:rsidP="000E1B53">
      <w:pPr>
        <w:rPr>
          <w:rFonts w:ascii="Arial" w:hAnsi="Arial" w:cs="Arial"/>
          <w:sz w:val="22"/>
          <w:szCs w:val="22"/>
        </w:rPr>
      </w:pPr>
    </w:p>
    <w:p w14:paraId="2A236CAC" w14:textId="4355B208" w:rsidR="000E1B53" w:rsidRDefault="000E1B53" w:rsidP="000E1B53">
      <w:pPr>
        <w:rPr>
          <w:rFonts w:ascii="Arial" w:hAnsi="Arial" w:cs="Arial"/>
          <w:sz w:val="22"/>
          <w:szCs w:val="22"/>
        </w:rPr>
      </w:pPr>
    </w:p>
    <w:p w14:paraId="499BBD44" w14:textId="0B31228A" w:rsidR="00114286" w:rsidRPr="000E1B53" w:rsidRDefault="00114286" w:rsidP="000E1B53">
      <w:pPr>
        <w:rPr>
          <w:rFonts w:ascii="Arial" w:hAnsi="Arial" w:cs="Arial"/>
          <w:sz w:val="22"/>
          <w:szCs w:val="22"/>
        </w:rPr>
      </w:pPr>
      <w:r>
        <w:rPr>
          <w:rFonts w:ascii="Arial" w:hAnsi="Arial" w:cs="Arial"/>
          <w:sz w:val="22"/>
          <w:szCs w:val="22"/>
        </w:rPr>
        <w:t xml:space="preserve">Proceedings </w:t>
      </w:r>
      <w:r w:rsidR="00C07D44">
        <w:rPr>
          <w:rFonts w:ascii="Arial" w:hAnsi="Arial" w:cs="Arial"/>
          <w:sz w:val="22"/>
          <w:szCs w:val="22"/>
        </w:rPr>
        <w:t xml:space="preserve">in </w:t>
      </w:r>
      <w:r>
        <w:rPr>
          <w:rFonts w:ascii="Arial" w:hAnsi="Arial" w:cs="Arial"/>
          <w:sz w:val="22"/>
          <w:szCs w:val="22"/>
        </w:rPr>
        <w:t>the High Court of England and Wales ha</w:t>
      </w:r>
      <w:r w:rsidR="00170499">
        <w:rPr>
          <w:rFonts w:ascii="Arial" w:hAnsi="Arial" w:cs="Arial"/>
          <w:sz w:val="22"/>
          <w:szCs w:val="22"/>
        </w:rPr>
        <w:t>d</w:t>
      </w:r>
      <w:r>
        <w:rPr>
          <w:rFonts w:ascii="Arial" w:hAnsi="Arial" w:cs="Arial"/>
          <w:sz w:val="22"/>
          <w:szCs w:val="22"/>
        </w:rPr>
        <w:t xml:space="preserve"> been stayed pending the outcome of th</w:t>
      </w:r>
      <w:r w:rsidR="00170499">
        <w:rPr>
          <w:rFonts w:ascii="Arial" w:hAnsi="Arial" w:cs="Arial"/>
          <w:sz w:val="22"/>
          <w:szCs w:val="22"/>
        </w:rPr>
        <w:t>e</w:t>
      </w:r>
      <w:r>
        <w:rPr>
          <w:rFonts w:ascii="Arial" w:hAnsi="Arial" w:cs="Arial"/>
          <w:sz w:val="22"/>
          <w:szCs w:val="22"/>
        </w:rPr>
        <w:t xml:space="preserve"> preliminary ruling. They will now commence again with Mostyn J able to make a final determination on the merits of the case</w:t>
      </w:r>
      <w:r w:rsidR="00170499">
        <w:rPr>
          <w:rFonts w:ascii="Arial" w:hAnsi="Arial" w:cs="Arial"/>
          <w:sz w:val="22"/>
          <w:szCs w:val="22"/>
        </w:rPr>
        <w:t xml:space="preserve"> within the next few weeks.</w:t>
      </w:r>
    </w:p>
    <w:p w14:paraId="1A21A63C" w14:textId="77777777" w:rsidR="00667C9A" w:rsidRPr="00667C9A" w:rsidRDefault="00667C9A" w:rsidP="00667C9A">
      <w:pPr>
        <w:rPr>
          <w:rFonts w:ascii="Arial" w:hAnsi="Arial" w:cs="Arial"/>
          <w:sz w:val="22"/>
          <w:szCs w:val="22"/>
        </w:rPr>
      </w:pPr>
    </w:p>
    <w:p w14:paraId="54DCDAB4" w14:textId="76FE79D9" w:rsidR="00E573A1" w:rsidRPr="00E573A1" w:rsidRDefault="00E573A1" w:rsidP="00E573A1">
      <w:pPr>
        <w:tabs>
          <w:tab w:val="left" w:pos="3163"/>
        </w:tabs>
        <w:rPr>
          <w:rFonts w:ascii="Arial" w:hAnsi="Arial" w:cs="Arial"/>
          <w:sz w:val="22"/>
          <w:szCs w:val="22"/>
        </w:rPr>
      </w:pPr>
    </w:p>
    <w:sectPr w:rsidR="00E573A1" w:rsidRPr="00E573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DD100D"/>
    <w:multiLevelType w:val="hybridMultilevel"/>
    <w:tmpl w:val="9DD21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474"/>
    <w:rsid w:val="00031740"/>
    <w:rsid w:val="000E1B53"/>
    <w:rsid w:val="00114286"/>
    <w:rsid w:val="00170499"/>
    <w:rsid w:val="00184CA7"/>
    <w:rsid w:val="001A5474"/>
    <w:rsid w:val="001B0256"/>
    <w:rsid w:val="002E3B0A"/>
    <w:rsid w:val="00322F91"/>
    <w:rsid w:val="003D3DCA"/>
    <w:rsid w:val="004742A4"/>
    <w:rsid w:val="00667C9A"/>
    <w:rsid w:val="00785B5A"/>
    <w:rsid w:val="00974258"/>
    <w:rsid w:val="00986CF4"/>
    <w:rsid w:val="00A46AED"/>
    <w:rsid w:val="00BA5E7E"/>
    <w:rsid w:val="00BA71FE"/>
    <w:rsid w:val="00C07D44"/>
    <w:rsid w:val="00C42332"/>
    <w:rsid w:val="00D94EDE"/>
    <w:rsid w:val="00E57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80F3"/>
  <w15:chartTrackingRefBased/>
  <w15:docId w15:val="{72B196E1-FE7E-7044-A167-D32B67DA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2A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A5474"/>
  </w:style>
  <w:style w:type="character" w:styleId="Hyperlink">
    <w:name w:val="Hyperlink"/>
    <w:basedOn w:val="DefaultParagraphFont"/>
    <w:uiPriority w:val="99"/>
    <w:unhideWhenUsed/>
    <w:rsid w:val="001A5474"/>
    <w:rPr>
      <w:color w:val="0000FF"/>
      <w:u w:val="single"/>
    </w:rPr>
  </w:style>
  <w:style w:type="character" w:styleId="UnresolvedMention">
    <w:name w:val="Unresolved Mention"/>
    <w:basedOn w:val="DefaultParagraphFont"/>
    <w:uiPriority w:val="99"/>
    <w:semiHidden/>
    <w:unhideWhenUsed/>
    <w:rsid w:val="00322F91"/>
    <w:rPr>
      <w:color w:val="605E5C"/>
      <w:shd w:val="clear" w:color="auto" w:fill="E1DFDD"/>
    </w:rPr>
  </w:style>
  <w:style w:type="paragraph" w:styleId="ListParagraph">
    <w:name w:val="List Paragraph"/>
    <w:basedOn w:val="Normal"/>
    <w:uiPriority w:val="34"/>
    <w:qFormat/>
    <w:rsid w:val="00986CF4"/>
    <w:pPr>
      <w:ind w:left="720"/>
      <w:contextualSpacing/>
    </w:pPr>
    <w:rPr>
      <w:rFonts w:asciiTheme="minorHAnsi" w:eastAsiaTheme="minorHAnsi" w:hAnsiTheme="minorHAnsi" w:cstheme="minorBidi"/>
      <w:lang w:eastAsia="en-US"/>
    </w:rPr>
  </w:style>
  <w:style w:type="character" w:styleId="FollowedHyperlink">
    <w:name w:val="FollowedHyperlink"/>
    <w:basedOn w:val="DefaultParagraphFont"/>
    <w:uiPriority w:val="99"/>
    <w:semiHidden/>
    <w:unhideWhenUsed/>
    <w:rsid w:val="001142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14409">
      <w:bodyDiv w:val="1"/>
      <w:marLeft w:val="0"/>
      <w:marRight w:val="0"/>
      <w:marTop w:val="0"/>
      <w:marBottom w:val="0"/>
      <w:divBdr>
        <w:top w:val="none" w:sz="0" w:space="0" w:color="auto"/>
        <w:left w:val="none" w:sz="0" w:space="0" w:color="auto"/>
        <w:bottom w:val="none" w:sz="0" w:space="0" w:color="auto"/>
        <w:right w:val="none" w:sz="0" w:space="0" w:color="auto"/>
      </w:divBdr>
    </w:div>
    <w:div w:id="1769152622">
      <w:bodyDiv w:val="1"/>
      <w:marLeft w:val="0"/>
      <w:marRight w:val="0"/>
      <w:marTop w:val="0"/>
      <w:marBottom w:val="0"/>
      <w:divBdr>
        <w:top w:val="none" w:sz="0" w:space="0" w:color="auto"/>
        <w:left w:val="none" w:sz="0" w:space="0" w:color="auto"/>
        <w:bottom w:val="none" w:sz="0" w:space="0" w:color="auto"/>
        <w:right w:val="none" w:sz="0" w:space="0" w:color="auto"/>
      </w:divBdr>
    </w:div>
    <w:div w:id="1874150491">
      <w:bodyDiv w:val="1"/>
      <w:marLeft w:val="0"/>
      <w:marRight w:val="0"/>
      <w:marTop w:val="0"/>
      <w:marBottom w:val="0"/>
      <w:divBdr>
        <w:top w:val="none" w:sz="0" w:space="0" w:color="auto"/>
        <w:left w:val="none" w:sz="0" w:space="0" w:color="auto"/>
        <w:bottom w:val="none" w:sz="0" w:space="0" w:color="auto"/>
        <w:right w:val="none" w:sz="0" w:space="0" w:color="auto"/>
      </w:divBdr>
    </w:div>
    <w:div w:id="1913394093">
      <w:bodyDiv w:val="1"/>
      <w:marLeft w:val="0"/>
      <w:marRight w:val="0"/>
      <w:marTop w:val="0"/>
      <w:marBottom w:val="0"/>
      <w:divBdr>
        <w:top w:val="none" w:sz="0" w:space="0" w:color="auto"/>
        <w:left w:val="none" w:sz="0" w:space="0" w:color="auto"/>
        <w:bottom w:val="none" w:sz="0" w:space="0" w:color="auto"/>
        <w:right w:val="none" w:sz="0" w:space="0" w:color="auto"/>
      </w:divBdr>
    </w:div>
    <w:div w:id="2003122735">
      <w:bodyDiv w:val="1"/>
      <w:marLeft w:val="0"/>
      <w:marRight w:val="0"/>
      <w:marTop w:val="0"/>
      <w:marBottom w:val="0"/>
      <w:divBdr>
        <w:top w:val="none" w:sz="0" w:space="0" w:color="auto"/>
        <w:left w:val="none" w:sz="0" w:space="0" w:color="auto"/>
        <w:bottom w:val="none" w:sz="0" w:space="0" w:color="auto"/>
        <w:right w:val="none" w:sz="0" w:space="0" w:color="auto"/>
      </w:divBdr>
    </w:div>
    <w:div w:id="214257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uria.europa.eu/juris/document/document.jsf?text=&amp;docid=238087&amp;pageIndex=0&amp;doclang=en&amp;mode=lst&amp;dir=&amp;occ=first&amp;part=1&amp;cid=2915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ria.europa.eu/juris/document/document.jsf?text=&amp;docid=239243&amp;pageIndex=0&amp;doclang=en&amp;mode=lst&amp;dir=&amp;occ=first&amp;part=1&amp;cid=291591" TargetMode="External"/><Relationship Id="rId5" Type="http://schemas.openxmlformats.org/officeDocument/2006/relationships/hyperlink" Target="https://www.bailii.org/ew/cases/EWHC/Fam/2020/297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4268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Brotherton</dc:creator>
  <cp:keywords/>
  <dc:description/>
  <cp:lastModifiedBy>Asli Ozalgan</cp:lastModifiedBy>
  <cp:revision>2</cp:revision>
  <dcterms:created xsi:type="dcterms:W3CDTF">2021-03-26T16:07:00Z</dcterms:created>
  <dcterms:modified xsi:type="dcterms:W3CDTF">2021-03-26T16:07:00Z</dcterms:modified>
</cp:coreProperties>
</file>